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560CC" w14:textId="19128B80" w:rsidR="006B5C9F" w:rsidRPr="00DA7AC8" w:rsidRDefault="006B5C9F" w:rsidP="006B5C9F">
      <w:pPr>
        <w:pStyle w:val="3GPPHeader"/>
        <w:spacing w:after="60"/>
        <w:rPr>
          <w:sz w:val="32"/>
          <w:szCs w:val="32"/>
        </w:rPr>
      </w:pPr>
      <w:bookmarkStart w:id="0" w:name="_Hlk161294154"/>
      <w:r w:rsidRPr="00DA7AC8">
        <w:t>3GPP TSG-RAN WG1 Meeting #11</w:t>
      </w:r>
      <w:r w:rsidR="008413D0">
        <w:t>7</w:t>
      </w:r>
      <w:r w:rsidRPr="00DA7AC8">
        <w:tab/>
      </w:r>
      <w:r w:rsidR="007E7BC8" w:rsidRPr="00C66691">
        <w:rPr>
          <w:sz w:val="32"/>
          <w:szCs w:val="32"/>
        </w:rPr>
        <w:t>R1-</w:t>
      </w:r>
      <w:r w:rsidR="00C66691" w:rsidRPr="00A21143">
        <w:rPr>
          <w:sz w:val="32"/>
          <w:szCs w:val="32"/>
        </w:rPr>
        <w:t>2403844</w:t>
      </w:r>
    </w:p>
    <w:p w14:paraId="46E18C06" w14:textId="77777777" w:rsidR="006D701A" w:rsidRPr="004C2138" w:rsidRDefault="006D701A" w:rsidP="006D701A">
      <w:pPr>
        <w:pStyle w:val="3GPPHeader"/>
      </w:pPr>
      <w:bookmarkStart w:id="1" w:name="_Hlk164681807"/>
      <w:r>
        <w:t>Fukuoka, Japan</w:t>
      </w:r>
      <w:r w:rsidRPr="004C2138">
        <w:t xml:space="preserve">, </w:t>
      </w:r>
      <w:r>
        <w:t>20</w:t>
      </w:r>
      <w:r w:rsidRPr="0062100C">
        <w:rPr>
          <w:vertAlign w:val="superscript"/>
        </w:rPr>
        <w:t>th</w:t>
      </w:r>
      <w:r>
        <w:t xml:space="preserve"> – 24</w:t>
      </w:r>
      <w:r w:rsidRPr="0062100C">
        <w:rPr>
          <w:vertAlign w:val="superscript"/>
        </w:rPr>
        <w:t>th</w:t>
      </w:r>
      <w:r>
        <w:t xml:space="preserve"> May</w:t>
      </w:r>
      <w:r w:rsidRPr="004C2138">
        <w:t xml:space="preserve"> 2024</w:t>
      </w:r>
    </w:p>
    <w:bookmarkEnd w:id="0"/>
    <w:bookmarkEnd w:id="1"/>
    <w:p w14:paraId="3086AC07" w14:textId="77777777" w:rsidR="00E90E49" w:rsidRPr="00BD3297" w:rsidRDefault="00E90E49" w:rsidP="00357380">
      <w:pPr>
        <w:pStyle w:val="3GPPHeader"/>
      </w:pPr>
    </w:p>
    <w:p w14:paraId="3982483C" w14:textId="158FCB52" w:rsidR="00E90E49" w:rsidRPr="00BD3297" w:rsidRDefault="00E90E49" w:rsidP="00311702">
      <w:pPr>
        <w:pStyle w:val="3GPPHeader"/>
        <w:rPr>
          <w:sz w:val="22"/>
        </w:rPr>
      </w:pPr>
      <w:r w:rsidRPr="00BD3297">
        <w:rPr>
          <w:sz w:val="22"/>
        </w:rPr>
        <w:t>Agenda Item:</w:t>
      </w:r>
      <w:r w:rsidRPr="00BD3297">
        <w:rPr>
          <w:sz w:val="22"/>
        </w:rPr>
        <w:tab/>
      </w:r>
      <w:r w:rsidR="00DA7AC8" w:rsidRPr="00BD3297">
        <w:rPr>
          <w:sz w:val="22"/>
        </w:rPr>
        <w:t>9.4.</w:t>
      </w:r>
      <w:r w:rsidR="00F824C1" w:rsidRPr="00BD3297">
        <w:rPr>
          <w:sz w:val="22"/>
        </w:rPr>
        <w:t>2.3</w:t>
      </w:r>
    </w:p>
    <w:p w14:paraId="5619E868" w14:textId="77777777" w:rsidR="00E90E49" w:rsidRPr="00BD3297" w:rsidRDefault="003D3C45" w:rsidP="00F64C2B">
      <w:pPr>
        <w:pStyle w:val="3GPPHeader"/>
        <w:rPr>
          <w:sz w:val="22"/>
        </w:rPr>
      </w:pPr>
      <w:r w:rsidRPr="00BD3297">
        <w:rPr>
          <w:sz w:val="22"/>
        </w:rPr>
        <w:t>Source:</w:t>
      </w:r>
      <w:r w:rsidR="00E90E49" w:rsidRPr="00BD3297">
        <w:rPr>
          <w:sz w:val="22"/>
        </w:rPr>
        <w:tab/>
      </w:r>
      <w:r w:rsidR="00F64C2B" w:rsidRPr="00BD3297">
        <w:rPr>
          <w:sz w:val="22"/>
        </w:rPr>
        <w:t>Ericsson</w:t>
      </w:r>
    </w:p>
    <w:p w14:paraId="3AF5C9FA" w14:textId="26A9487E" w:rsidR="00E90E49" w:rsidRPr="00BD3297" w:rsidRDefault="003D3C45" w:rsidP="00311702">
      <w:pPr>
        <w:pStyle w:val="3GPPHeader"/>
        <w:rPr>
          <w:sz w:val="22"/>
        </w:rPr>
      </w:pPr>
      <w:r w:rsidRPr="00BD3297">
        <w:rPr>
          <w:sz w:val="22"/>
        </w:rPr>
        <w:t>Title:</w:t>
      </w:r>
      <w:r w:rsidR="00E90E49" w:rsidRPr="00BD3297">
        <w:rPr>
          <w:sz w:val="22"/>
        </w:rPr>
        <w:tab/>
      </w:r>
      <w:bookmarkStart w:id="2" w:name="OLE_LINK10"/>
      <w:r w:rsidR="00F824C1" w:rsidRPr="00BD3297">
        <w:rPr>
          <w:sz w:val="22"/>
        </w:rPr>
        <w:t>Downlink and uplink channel/signal aspects for Ambient IoT</w:t>
      </w:r>
    </w:p>
    <w:bookmarkEnd w:id="2"/>
    <w:p w14:paraId="025260C1" w14:textId="77777777" w:rsidR="00E90E49" w:rsidRPr="00BD3297" w:rsidRDefault="00E90E49" w:rsidP="00D546FF">
      <w:pPr>
        <w:pStyle w:val="3GPPHeader"/>
        <w:rPr>
          <w:sz w:val="22"/>
        </w:rPr>
      </w:pPr>
      <w:r w:rsidRPr="00BD3297">
        <w:rPr>
          <w:sz w:val="22"/>
        </w:rPr>
        <w:t>Document for:</w:t>
      </w:r>
      <w:r w:rsidRPr="00BD3297">
        <w:rPr>
          <w:sz w:val="22"/>
        </w:rPr>
        <w:tab/>
        <w:t>Discussion, Decision</w:t>
      </w:r>
    </w:p>
    <w:p w14:paraId="753949CC" w14:textId="31E89EED" w:rsidR="005D7D6A" w:rsidRDefault="005D7D6A" w:rsidP="000A23A7">
      <w:pPr>
        <w:pStyle w:val="Heading1"/>
        <w:numPr>
          <w:ilvl w:val="0"/>
          <w:numId w:val="16"/>
        </w:numPr>
      </w:pPr>
      <w:r w:rsidRPr="00CE0424">
        <w:t>Introduction</w:t>
      </w:r>
    </w:p>
    <w:p w14:paraId="07089195" w14:textId="1BC6A3F6" w:rsidR="003E1FC5" w:rsidRDefault="003E1FC5" w:rsidP="003E1FC5">
      <w:pPr>
        <w:pStyle w:val="BodyText"/>
      </w:pPr>
      <w:r>
        <w:t xml:space="preserve">The “Study on solutions for Ambient IoT (Internet of Things) in NR” </w:t>
      </w:r>
      <w:r>
        <w:fldChar w:fldCharType="begin"/>
      </w:r>
      <w:r>
        <w:instrText xml:space="preserve"> REF _Ref155949857 \r \h </w:instrText>
      </w:r>
      <w:r>
        <w:fldChar w:fldCharType="separate"/>
      </w:r>
      <w:r w:rsidR="00846B4E">
        <w:t>[1]</w:t>
      </w:r>
      <w:r>
        <w:fldChar w:fldCharType="end"/>
      </w:r>
      <w:r w:rsidR="00EF09AA">
        <w:fldChar w:fldCharType="begin"/>
      </w:r>
      <w:r w:rsidR="00EF09AA">
        <w:instrText xml:space="preserve"> REF _Ref163234355 \r \h </w:instrText>
      </w:r>
      <w:r w:rsidR="00EF09AA">
        <w:fldChar w:fldCharType="separate"/>
      </w:r>
      <w:r w:rsidR="00846B4E">
        <w:t>[2]</w:t>
      </w:r>
      <w:r w:rsidR="00EF09AA">
        <w:fldChar w:fldCharType="end"/>
      </w:r>
      <w:r>
        <w:fldChar w:fldCharType="begin"/>
      </w:r>
      <w:r>
        <w:instrText xml:space="preserve"> REF _Ref161349911 \r \h </w:instrText>
      </w:r>
      <w:r>
        <w:fldChar w:fldCharType="separate"/>
      </w:r>
      <w:r w:rsidR="00846B4E">
        <w:t>[3]</w:t>
      </w:r>
      <w:r>
        <w:fldChar w:fldCharType="end"/>
      </w:r>
      <w:r>
        <w:t xml:space="preserve"> targets a further assessment at RAN WG level of Ambient IoT (A-IoT)</w:t>
      </w:r>
      <w:r w:rsidRPr="00C16D32">
        <w:t>, a new 3GPP IoT technology, suitable for deployment in a 3GPP system, which relies on ultra-low complexity devices with ultra-low power consumption for the very</w:t>
      </w:r>
      <w:r>
        <w:t xml:space="preserve"> </w:t>
      </w:r>
      <w:r w:rsidRPr="00C16D32">
        <w:t>low</w:t>
      </w:r>
      <w:r>
        <w:t>-</w:t>
      </w:r>
      <w:r w:rsidRPr="00C16D32">
        <w:t>end IoT applications</w:t>
      </w:r>
      <w:r>
        <w:t xml:space="preserve">. The study follows an initial study captured in TR 38.848 </w:t>
      </w:r>
      <w:r>
        <w:fldChar w:fldCharType="begin"/>
      </w:r>
      <w:r>
        <w:instrText xml:space="preserve"> REF _Ref161349949 \r \h </w:instrText>
      </w:r>
      <w:r>
        <w:fldChar w:fldCharType="separate"/>
      </w:r>
      <w:r w:rsidR="00846B4E">
        <w:t>[4]</w:t>
      </w:r>
      <w:r>
        <w:fldChar w:fldCharType="end"/>
      </w:r>
      <w:r>
        <w:t>.</w:t>
      </w:r>
    </w:p>
    <w:p w14:paraId="210D1C7E" w14:textId="4A749E6E" w:rsidR="00CC25ED" w:rsidRDefault="006A13A0">
      <w:pPr>
        <w:pStyle w:val="BodyText"/>
      </w:pPr>
      <w:bookmarkStart w:id="3" w:name="_Hlk163061289"/>
      <w:r w:rsidRPr="006A13A0">
        <w:t>A</w:t>
      </w:r>
      <w:r w:rsidR="00CC25ED" w:rsidRPr="006A13A0">
        <w:t>greements</w:t>
      </w:r>
      <w:r w:rsidRPr="006A13A0">
        <w:t xml:space="preserve"> reached so far are as follows</w:t>
      </w:r>
      <w:bookmarkEnd w:id="3"/>
      <w:r w:rsidR="00D521CC">
        <w:t>:</w:t>
      </w:r>
    </w:p>
    <w:tbl>
      <w:tblPr>
        <w:tblStyle w:val="TableGrid"/>
        <w:tblW w:w="0" w:type="auto"/>
        <w:tblLook w:val="04A0" w:firstRow="1" w:lastRow="0" w:firstColumn="1" w:lastColumn="0" w:noHBand="0" w:noVBand="1"/>
      </w:tblPr>
      <w:tblGrid>
        <w:gridCol w:w="9629"/>
      </w:tblGrid>
      <w:tr w:rsidR="00CC25ED" w:rsidRPr="002B47A9" w14:paraId="12D41247" w14:textId="77777777" w:rsidTr="00CC25ED">
        <w:tc>
          <w:tcPr>
            <w:tcW w:w="9629" w:type="dxa"/>
          </w:tcPr>
          <w:p w14:paraId="0194CEFD" w14:textId="77A5EEB0" w:rsidR="008413D0" w:rsidRDefault="008413D0" w:rsidP="006A249D">
            <w:pPr>
              <w:adjustRightInd w:val="0"/>
              <w:snapToGrid w:val="0"/>
              <w:spacing w:after="0" w:line="240" w:lineRule="auto"/>
              <w:rPr>
                <w:rFonts w:ascii="Times New Roman" w:hAnsi="Times New Roman" w:cs="Times New Roman"/>
                <w:b/>
                <w:sz w:val="20"/>
                <w:szCs w:val="20"/>
              </w:rPr>
            </w:pPr>
            <w:r w:rsidRPr="000E21D7">
              <w:rPr>
                <w:rFonts w:ascii="Times New Roman" w:hAnsi="Times New Roman" w:cs="Times New Roman"/>
                <w:b/>
                <w:sz w:val="20"/>
                <w:szCs w:val="20"/>
              </w:rPr>
              <w:t>RAN1#116</w:t>
            </w:r>
            <w:r w:rsidR="000E21D7">
              <w:rPr>
                <w:rFonts w:ascii="Times New Roman" w:hAnsi="Times New Roman" w:cs="Times New Roman"/>
                <w:b/>
                <w:bCs/>
                <w:sz w:val="20"/>
                <w:szCs w:val="20"/>
              </w:rPr>
              <w:t>:</w:t>
            </w:r>
          </w:p>
          <w:p w14:paraId="5198B7B0" w14:textId="77777777" w:rsidR="000E21D7" w:rsidRPr="000E21D7" w:rsidRDefault="000E21D7" w:rsidP="006A249D">
            <w:pPr>
              <w:adjustRightInd w:val="0"/>
              <w:snapToGrid w:val="0"/>
              <w:spacing w:after="0" w:line="240" w:lineRule="auto"/>
              <w:rPr>
                <w:rFonts w:ascii="Times New Roman" w:hAnsi="Times New Roman" w:cs="Times New Roman"/>
                <w:b/>
                <w:bCs/>
                <w:sz w:val="20"/>
                <w:szCs w:val="20"/>
                <w:highlight w:val="green"/>
              </w:rPr>
            </w:pPr>
          </w:p>
          <w:p w14:paraId="6BCBA5C6" w14:textId="749E8D04" w:rsidR="00CC25ED" w:rsidRPr="002B47A9" w:rsidRDefault="00CC25ED" w:rsidP="006A249D">
            <w:pPr>
              <w:adjustRightInd w:val="0"/>
              <w:snapToGrid w:val="0"/>
              <w:spacing w:after="0" w:line="240" w:lineRule="auto"/>
              <w:rPr>
                <w:rFonts w:ascii="Times New Roman" w:hAnsi="Times New Roman" w:cs="Times New Roman"/>
                <w:sz w:val="20"/>
                <w:szCs w:val="20"/>
              </w:rPr>
            </w:pPr>
            <w:r w:rsidRPr="002B47A9">
              <w:rPr>
                <w:rFonts w:ascii="Times New Roman" w:hAnsi="Times New Roman" w:cs="Times New Roman"/>
                <w:sz w:val="20"/>
                <w:szCs w:val="20"/>
                <w:highlight w:val="green"/>
              </w:rPr>
              <w:t>Agreement</w:t>
            </w:r>
          </w:p>
          <w:p w14:paraId="7EA3830E" w14:textId="77777777" w:rsidR="00CC25ED" w:rsidRPr="002B47A9" w:rsidRDefault="00CC25ED" w:rsidP="006A249D">
            <w:pPr>
              <w:spacing w:after="0" w:line="240" w:lineRule="auto"/>
              <w:rPr>
                <w:rFonts w:ascii="Times New Roman" w:hAnsi="Times New Roman" w:cs="Times New Roman"/>
                <w:sz w:val="20"/>
                <w:szCs w:val="20"/>
              </w:rPr>
            </w:pPr>
            <w:r w:rsidRPr="00BD594C">
              <w:rPr>
                <w:rFonts w:ascii="Times New Roman" w:eastAsia="SimSun" w:hAnsi="Times New Roman" w:cs="Times New Roman"/>
                <w:sz w:val="20"/>
                <w:szCs w:val="20"/>
              </w:rPr>
              <w:t>At</w:t>
            </w:r>
            <w:r w:rsidRPr="002B47A9">
              <w:rPr>
                <w:rFonts w:ascii="Times New Roman" w:hAnsi="Times New Roman" w:cs="Times New Roman"/>
                <w:sz w:val="20"/>
                <w:szCs w:val="20"/>
              </w:rPr>
              <w:t xml:space="preserve"> least the following time domain frame structure is studied for A-IoT R2D</w:t>
            </w:r>
            <w:r w:rsidRPr="002B47A9" w:rsidDel="00B30D72">
              <w:rPr>
                <w:rFonts w:ascii="Times New Roman" w:hAnsi="Times New Roman" w:cs="Times New Roman"/>
                <w:sz w:val="20"/>
                <w:szCs w:val="20"/>
              </w:rPr>
              <w:t xml:space="preserve"> </w:t>
            </w:r>
            <w:r w:rsidRPr="002B47A9">
              <w:rPr>
                <w:rFonts w:ascii="Times New Roman" w:hAnsi="Times New Roman" w:cs="Times New Roman"/>
                <w:sz w:val="20"/>
                <w:szCs w:val="20"/>
              </w:rPr>
              <w:t>and D2R transmission.</w:t>
            </w:r>
          </w:p>
          <w:p w14:paraId="61E7A01A" w14:textId="77777777" w:rsidR="00CC25ED" w:rsidRPr="002B47A9" w:rsidRDefault="00CC25ED" w:rsidP="006A249D">
            <w:pPr>
              <w:pStyle w:val="ListParagraph"/>
              <w:numPr>
                <w:ilvl w:val="0"/>
                <w:numId w:val="17"/>
              </w:numPr>
              <w:autoSpaceDE w:val="0"/>
              <w:autoSpaceDN w:val="0"/>
              <w:adjustRightInd w:val="0"/>
              <w:snapToGrid w:val="0"/>
              <w:spacing w:line="240" w:lineRule="auto"/>
              <w:rPr>
                <w:rFonts w:ascii="Times New Roman" w:hAnsi="Times New Roman" w:cs="Times New Roman"/>
                <w:sz w:val="20"/>
                <w:szCs w:val="20"/>
              </w:rPr>
            </w:pPr>
            <w:r w:rsidRPr="002B47A9">
              <w:rPr>
                <w:rFonts w:ascii="Times New Roman" w:hAnsi="Times New Roman" w:cs="Times New Roman"/>
                <w:sz w:val="20"/>
                <w:szCs w:val="20"/>
              </w:rPr>
              <w:t>For R2D transmission,</w:t>
            </w:r>
          </w:p>
          <w:p w14:paraId="0DF5F491" w14:textId="77777777" w:rsidR="00CC25ED" w:rsidRPr="002B47A9" w:rsidRDefault="00CC25ED" w:rsidP="006A249D">
            <w:pPr>
              <w:numPr>
                <w:ilvl w:val="1"/>
                <w:numId w:val="15"/>
              </w:numPr>
              <w:spacing w:after="0" w:line="240" w:lineRule="auto"/>
              <w:rPr>
                <w:rFonts w:ascii="Times New Roman" w:hAnsi="Times New Roman" w:cs="Times New Roman"/>
                <w:sz w:val="20"/>
                <w:szCs w:val="20"/>
              </w:rPr>
            </w:pPr>
            <w:r w:rsidRPr="002B47A9">
              <w:rPr>
                <w:rFonts w:ascii="Times New Roman" w:hAnsi="Times New Roman" w:cs="Times New Roman"/>
                <w:sz w:val="20"/>
                <w:szCs w:val="20"/>
              </w:rPr>
              <w:t>A R2D</w:t>
            </w:r>
            <w:r w:rsidRPr="002B47A9" w:rsidDel="00B30D72">
              <w:rPr>
                <w:rFonts w:ascii="Times New Roman" w:hAnsi="Times New Roman" w:cs="Times New Roman"/>
                <w:sz w:val="20"/>
                <w:szCs w:val="20"/>
              </w:rPr>
              <w:t xml:space="preserve"> </w:t>
            </w:r>
            <w:r w:rsidRPr="002B47A9">
              <w:rPr>
                <w:rFonts w:ascii="Times New Roman" w:hAnsi="Times New Roman" w:cs="Times New Roman"/>
                <w:sz w:val="20"/>
                <w:szCs w:val="20"/>
              </w:rPr>
              <w:t>timing acquisition signal (e.g. R2D</w:t>
            </w:r>
            <w:r w:rsidRPr="002B47A9" w:rsidDel="00B30D72">
              <w:rPr>
                <w:rFonts w:ascii="Times New Roman" w:hAnsi="Times New Roman" w:cs="Times New Roman"/>
                <w:sz w:val="20"/>
                <w:szCs w:val="20"/>
              </w:rPr>
              <w:t xml:space="preserve"> </w:t>
            </w:r>
            <w:r w:rsidRPr="002B47A9">
              <w:rPr>
                <w:rFonts w:ascii="Times New Roman" w:hAnsi="Times New Roman" w:cs="Times New Roman"/>
                <w:sz w:val="20"/>
                <w:szCs w:val="20"/>
              </w:rPr>
              <w:t>preamble) is included at least for timing acquisition and for indicating the start of the R2D</w:t>
            </w:r>
            <w:r w:rsidRPr="002B47A9" w:rsidDel="00B30D72">
              <w:rPr>
                <w:rFonts w:ascii="Times New Roman" w:hAnsi="Times New Roman" w:cs="Times New Roman"/>
                <w:sz w:val="20"/>
                <w:szCs w:val="20"/>
              </w:rPr>
              <w:t xml:space="preserve"> </w:t>
            </w:r>
            <w:r w:rsidRPr="002B47A9">
              <w:rPr>
                <w:rFonts w:ascii="Times New Roman" w:hAnsi="Times New Roman" w:cs="Times New Roman"/>
                <w:sz w:val="20"/>
                <w:szCs w:val="20"/>
              </w:rPr>
              <w:t>transmission in time domain.</w:t>
            </w:r>
          </w:p>
          <w:p w14:paraId="2FB42077" w14:textId="77777777" w:rsidR="00CC25ED" w:rsidRPr="002B47A9" w:rsidRDefault="00CC25ED" w:rsidP="006A249D">
            <w:pPr>
              <w:numPr>
                <w:ilvl w:val="0"/>
                <w:numId w:val="15"/>
              </w:numPr>
              <w:spacing w:after="0" w:line="240" w:lineRule="auto"/>
              <w:rPr>
                <w:rFonts w:ascii="Times New Roman" w:hAnsi="Times New Roman" w:cs="Times New Roman"/>
                <w:sz w:val="20"/>
                <w:szCs w:val="20"/>
              </w:rPr>
            </w:pPr>
            <w:r w:rsidRPr="002B47A9">
              <w:rPr>
                <w:rFonts w:ascii="Times New Roman" w:eastAsia="DengXian" w:hAnsi="Times New Roman" w:cs="Times New Roman"/>
                <w:sz w:val="20"/>
                <w:szCs w:val="20"/>
                <w:lang w:eastAsia="zh-CN"/>
              </w:rPr>
              <w:t xml:space="preserve">For </w:t>
            </w:r>
            <w:r w:rsidRPr="002B47A9">
              <w:rPr>
                <w:rFonts w:ascii="Times New Roman" w:hAnsi="Times New Roman" w:cs="Times New Roman"/>
                <w:sz w:val="20"/>
                <w:szCs w:val="20"/>
              </w:rPr>
              <w:t>D2R transmission</w:t>
            </w:r>
            <w:r w:rsidRPr="002B47A9">
              <w:rPr>
                <w:rFonts w:ascii="Times New Roman" w:eastAsia="DengXian" w:hAnsi="Times New Roman" w:cs="Times New Roman"/>
                <w:sz w:val="20"/>
                <w:szCs w:val="20"/>
                <w:lang w:eastAsia="zh-CN"/>
              </w:rPr>
              <w:t>,</w:t>
            </w:r>
          </w:p>
          <w:p w14:paraId="2C4E3B24" w14:textId="77777777" w:rsidR="00CC25ED" w:rsidRPr="002B47A9" w:rsidRDefault="00CC25ED" w:rsidP="006A249D">
            <w:pPr>
              <w:numPr>
                <w:ilvl w:val="1"/>
                <w:numId w:val="15"/>
              </w:numPr>
              <w:spacing w:after="0" w:line="240" w:lineRule="auto"/>
              <w:rPr>
                <w:rFonts w:ascii="Times New Roman" w:hAnsi="Times New Roman" w:cs="Times New Roman"/>
                <w:sz w:val="20"/>
                <w:szCs w:val="20"/>
              </w:rPr>
            </w:pPr>
            <w:r w:rsidRPr="002B47A9">
              <w:rPr>
                <w:rFonts w:ascii="Times New Roman" w:hAnsi="Times New Roman" w:cs="Times New Roman"/>
                <w:sz w:val="20"/>
                <w:szCs w:val="20"/>
              </w:rPr>
              <w:t>A D2R timing acquisition signal (e.g. D2R preamble) is included at least for timing acquisition and for indicating the start of the D2R transmission in time domain.</w:t>
            </w:r>
          </w:p>
          <w:p w14:paraId="503F999C" w14:textId="77777777" w:rsidR="00CC25ED" w:rsidRDefault="00CC25ED" w:rsidP="006A249D">
            <w:pPr>
              <w:numPr>
                <w:ilvl w:val="0"/>
                <w:numId w:val="15"/>
              </w:numPr>
              <w:spacing w:after="0" w:line="240" w:lineRule="auto"/>
              <w:rPr>
                <w:rFonts w:ascii="Times New Roman" w:hAnsi="Times New Roman" w:cs="Times New Roman"/>
                <w:sz w:val="20"/>
                <w:szCs w:val="20"/>
              </w:rPr>
            </w:pPr>
            <w:r w:rsidRPr="002B47A9">
              <w:rPr>
                <w:rFonts w:ascii="Times New Roman" w:hAnsi="Times New Roman" w:cs="Times New Roman"/>
                <w:sz w:val="20"/>
                <w:szCs w:val="20"/>
              </w:rPr>
              <w:t>FFS other necessary component(s), e.g. midamble, postamble, periodic sync signal, control fields, guard period</w:t>
            </w:r>
          </w:p>
          <w:p w14:paraId="31794ADF" w14:textId="77777777" w:rsidR="00E04A9C" w:rsidRDefault="00E04A9C" w:rsidP="006A249D">
            <w:pPr>
              <w:spacing w:after="0" w:line="240" w:lineRule="auto"/>
              <w:rPr>
                <w:rFonts w:ascii="Times New Roman" w:hAnsi="Times New Roman" w:cs="Times New Roman"/>
                <w:sz w:val="20"/>
                <w:szCs w:val="20"/>
              </w:rPr>
            </w:pPr>
          </w:p>
          <w:p w14:paraId="73C8BB9A" w14:textId="77777777" w:rsidR="00CC25ED" w:rsidRPr="002B47A9" w:rsidRDefault="00CC25ED" w:rsidP="006A249D">
            <w:pPr>
              <w:adjustRightInd w:val="0"/>
              <w:snapToGrid w:val="0"/>
              <w:spacing w:after="0" w:line="240" w:lineRule="auto"/>
              <w:rPr>
                <w:rFonts w:ascii="Times New Roman" w:eastAsia="Times New Roman" w:hAnsi="Times New Roman" w:cs="Times New Roman"/>
                <w:sz w:val="20"/>
                <w:szCs w:val="20"/>
                <w:lang w:eastAsia="x-none"/>
              </w:rPr>
            </w:pPr>
            <w:r w:rsidRPr="002B47A9">
              <w:rPr>
                <w:rFonts w:ascii="Times New Roman" w:eastAsia="Times New Roman" w:hAnsi="Times New Roman" w:cs="Times New Roman"/>
                <w:sz w:val="20"/>
                <w:szCs w:val="20"/>
                <w:highlight w:val="green"/>
                <w:lang w:eastAsia="x-none"/>
              </w:rPr>
              <w:t>Agreement</w:t>
            </w:r>
          </w:p>
          <w:p w14:paraId="76D1EA58" w14:textId="77777777" w:rsidR="00CC25ED" w:rsidRDefault="00CC25ED" w:rsidP="006A249D">
            <w:pPr>
              <w:spacing w:after="0" w:line="240" w:lineRule="auto"/>
              <w:rPr>
                <w:rFonts w:ascii="Times New Roman" w:eastAsia="Times New Roman" w:hAnsi="Times New Roman" w:cs="Times New Roman"/>
                <w:sz w:val="20"/>
                <w:szCs w:val="20"/>
                <w:lang w:eastAsia="en-GB"/>
              </w:rPr>
            </w:pPr>
            <w:r w:rsidRPr="002B47A9">
              <w:rPr>
                <w:rFonts w:ascii="Times New Roman" w:eastAsia="Times New Roman" w:hAnsi="Times New Roman" w:cs="Times New Roman"/>
                <w:sz w:val="20"/>
                <w:szCs w:val="20"/>
                <w:lang w:eastAsia="en-GB"/>
              </w:rPr>
              <w:t xml:space="preserve">For ambient IoT devices, a </w:t>
            </w:r>
            <w:r w:rsidRPr="002B47A9">
              <w:rPr>
                <w:rFonts w:ascii="Times New Roman" w:eastAsia="Times New Roman" w:hAnsi="Times New Roman" w:cs="Times New Roman"/>
                <w:color w:val="000000"/>
                <w:sz w:val="20"/>
                <w:szCs w:val="20"/>
                <w:lang w:eastAsia="en-GB"/>
              </w:rPr>
              <w:t xml:space="preserve">dedicated physical </w:t>
            </w:r>
            <w:r w:rsidRPr="002B47A9">
              <w:rPr>
                <w:rFonts w:ascii="Times New Roman" w:eastAsia="Times New Roman" w:hAnsi="Times New Roman" w:cs="Times New Roman"/>
                <w:sz w:val="20"/>
                <w:szCs w:val="20"/>
                <w:lang w:eastAsia="en-GB"/>
              </w:rPr>
              <w:t>broadcast channel for R2D, e.g. PBCH-like, is not considered for study.</w:t>
            </w:r>
          </w:p>
          <w:p w14:paraId="0E21133D" w14:textId="77777777" w:rsidR="00E04A9C" w:rsidRDefault="00E04A9C" w:rsidP="006A249D">
            <w:pPr>
              <w:spacing w:after="0" w:line="240" w:lineRule="auto"/>
              <w:rPr>
                <w:rFonts w:ascii="Times New Roman" w:eastAsia="Times New Roman" w:hAnsi="Times New Roman" w:cs="Times New Roman"/>
                <w:sz w:val="20"/>
                <w:szCs w:val="20"/>
                <w:lang w:eastAsia="en-GB"/>
              </w:rPr>
            </w:pPr>
          </w:p>
          <w:p w14:paraId="6E182548" w14:textId="77777777" w:rsidR="00CC25ED" w:rsidRPr="002B47A9" w:rsidRDefault="00CC25ED" w:rsidP="006A249D">
            <w:pPr>
              <w:adjustRightInd w:val="0"/>
              <w:snapToGrid w:val="0"/>
              <w:spacing w:after="0" w:line="240" w:lineRule="auto"/>
              <w:rPr>
                <w:rFonts w:ascii="Times New Roman" w:eastAsia="Times New Roman" w:hAnsi="Times New Roman" w:cs="Times New Roman"/>
                <w:sz w:val="20"/>
                <w:szCs w:val="20"/>
                <w:lang w:eastAsia="x-none"/>
              </w:rPr>
            </w:pPr>
            <w:r w:rsidRPr="002B47A9">
              <w:rPr>
                <w:rFonts w:ascii="Times New Roman" w:eastAsia="Times New Roman" w:hAnsi="Times New Roman" w:cs="Times New Roman"/>
                <w:sz w:val="20"/>
                <w:szCs w:val="20"/>
                <w:highlight w:val="green"/>
                <w:lang w:eastAsia="x-none"/>
              </w:rPr>
              <w:t>Agreement</w:t>
            </w:r>
          </w:p>
          <w:p w14:paraId="2F5B29FA" w14:textId="77777777" w:rsidR="00CC25ED" w:rsidRPr="002B47A9" w:rsidRDefault="00CC25ED" w:rsidP="006A249D">
            <w:pPr>
              <w:spacing w:after="0" w:line="240" w:lineRule="auto"/>
              <w:rPr>
                <w:rFonts w:ascii="Times New Roman" w:eastAsia="Times New Roman" w:hAnsi="Times New Roman" w:cs="Times New Roman"/>
                <w:color w:val="FF0000"/>
                <w:sz w:val="20"/>
                <w:szCs w:val="20"/>
                <w:lang w:eastAsia="en-GB"/>
              </w:rPr>
            </w:pPr>
            <w:r w:rsidRPr="002B47A9">
              <w:rPr>
                <w:rFonts w:ascii="Times New Roman" w:eastAsia="Times New Roman" w:hAnsi="Times New Roman" w:cs="Times New Roman"/>
                <w:sz w:val="20"/>
                <w:szCs w:val="20"/>
                <w:lang w:eastAsia="en-GB"/>
              </w:rPr>
              <w:t>For ambient IoT devices, at least for R2D data transmission, a physical channel (PRDCH) is studied,</w:t>
            </w:r>
          </w:p>
          <w:p w14:paraId="5766282C" w14:textId="77777777" w:rsidR="00CC25ED" w:rsidRPr="002B47A9"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System information (if defined) is transmitted on the PRDCH</w:t>
            </w:r>
          </w:p>
          <w:p w14:paraId="051FFD59" w14:textId="77777777" w:rsidR="00CC25ED" w:rsidRPr="002B47A9"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FFS Whether/how control information is transmitted on the PRDCH</w:t>
            </w:r>
          </w:p>
          <w:p w14:paraId="39BAEB67" w14:textId="25EB89CE" w:rsidR="00CC25ED"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Note: the naming of PRDCH is used for the sake of the study</w:t>
            </w:r>
          </w:p>
          <w:p w14:paraId="534D627E" w14:textId="77777777" w:rsidR="00E04A9C" w:rsidRPr="00E04A9C" w:rsidRDefault="00E04A9C" w:rsidP="006A249D">
            <w:p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p>
          <w:p w14:paraId="52E5AE40" w14:textId="77777777" w:rsidR="00CC25ED" w:rsidRPr="002B47A9" w:rsidRDefault="00CC25ED" w:rsidP="006A249D">
            <w:pPr>
              <w:adjustRightInd w:val="0"/>
              <w:snapToGrid w:val="0"/>
              <w:spacing w:after="0" w:line="240" w:lineRule="auto"/>
              <w:rPr>
                <w:rFonts w:ascii="Times New Roman" w:eastAsia="MS Mincho" w:hAnsi="Times New Roman" w:cs="Times New Roman"/>
                <w:sz w:val="20"/>
                <w:szCs w:val="20"/>
                <w:lang w:eastAsia="zh-CN"/>
              </w:rPr>
            </w:pPr>
            <w:r w:rsidRPr="002B47A9">
              <w:rPr>
                <w:rFonts w:ascii="Times New Roman" w:eastAsia="MS Mincho" w:hAnsi="Times New Roman" w:cs="Times New Roman"/>
                <w:sz w:val="20"/>
                <w:szCs w:val="20"/>
                <w:highlight w:val="green"/>
                <w:lang w:eastAsia="zh-CN"/>
              </w:rPr>
              <w:t>Agreement</w:t>
            </w:r>
          </w:p>
          <w:p w14:paraId="505AB34D" w14:textId="77777777" w:rsidR="00CC25ED" w:rsidRPr="002B47A9" w:rsidRDefault="00CC25ED" w:rsidP="006A249D">
            <w:pPr>
              <w:spacing w:after="0" w:line="240" w:lineRule="auto"/>
              <w:rPr>
                <w:rFonts w:ascii="Times New Roman" w:eastAsia="Times New Roman" w:hAnsi="Times New Roman" w:cs="Times New Roman"/>
                <w:color w:val="FF0000"/>
                <w:sz w:val="20"/>
                <w:szCs w:val="20"/>
                <w:lang w:eastAsia="en-GB"/>
              </w:rPr>
            </w:pPr>
            <w:r w:rsidRPr="002B47A9">
              <w:rPr>
                <w:rFonts w:ascii="Times New Roman" w:eastAsia="Times New Roman" w:hAnsi="Times New Roman" w:cs="Times New Roman"/>
                <w:sz w:val="20"/>
                <w:szCs w:val="20"/>
                <w:lang w:eastAsia="en-GB"/>
              </w:rPr>
              <w:t>For ambient IoT devices, at least for D2R data transmission, a physical channel (PDRCH) is studied along with the following,</w:t>
            </w:r>
          </w:p>
          <w:p w14:paraId="429D79F3" w14:textId="77777777" w:rsidR="00CC25ED" w:rsidRPr="002B47A9"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Response transmitted from device to reader during contention-based access procedure is transmitted on the PDRCH</w:t>
            </w:r>
          </w:p>
          <w:p w14:paraId="2E5C251D" w14:textId="77777777" w:rsidR="00CC25ED" w:rsidRPr="002B47A9" w:rsidRDefault="00CC25ED" w:rsidP="006A249D">
            <w:pPr>
              <w:numPr>
                <w:ilvl w:val="1"/>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FFS: Details of response</w:t>
            </w:r>
          </w:p>
          <w:p w14:paraId="2008881A" w14:textId="77777777" w:rsidR="00CC25ED" w:rsidRPr="002B47A9"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FFS Whether/how/what D2R control information (if defined) is transmitted on the PDRCH</w:t>
            </w:r>
          </w:p>
          <w:p w14:paraId="0DED7BBA" w14:textId="77777777" w:rsidR="00CC25ED" w:rsidRDefault="00CC25ED" w:rsidP="006A249D">
            <w:pPr>
              <w:numPr>
                <w:ilvl w:val="0"/>
                <w:numId w:val="13"/>
              </w:numPr>
              <w:overflowPunct w:val="0"/>
              <w:autoSpaceDE w:val="0"/>
              <w:autoSpaceDN w:val="0"/>
              <w:adjustRightInd w:val="0"/>
              <w:snapToGrid w:val="0"/>
              <w:spacing w:after="180" w:line="240" w:lineRule="auto"/>
              <w:contextualSpacing/>
              <w:textAlignment w:val="baseline"/>
              <w:rPr>
                <w:rFonts w:ascii="Times New Roman" w:eastAsia="Times New Roman" w:hAnsi="Times New Roman" w:cs="Times New Roman"/>
                <w:kern w:val="2"/>
                <w:sz w:val="20"/>
                <w:szCs w:val="20"/>
                <w:lang w:eastAsia="ja-JP"/>
              </w:rPr>
            </w:pPr>
            <w:r w:rsidRPr="002B47A9">
              <w:rPr>
                <w:rFonts w:ascii="Times New Roman" w:eastAsia="Times New Roman" w:hAnsi="Times New Roman" w:cs="Times New Roman"/>
                <w:kern w:val="2"/>
                <w:sz w:val="20"/>
                <w:szCs w:val="20"/>
                <w:lang w:eastAsia="ja-JP"/>
              </w:rPr>
              <w:t>Note: the naming of PDRCH is used for the sake of the study</w:t>
            </w:r>
          </w:p>
          <w:p w14:paraId="5E121E31" w14:textId="77777777" w:rsidR="00AB420B" w:rsidRDefault="00AB420B" w:rsidP="00AB420B">
            <w:pPr>
              <w:overflowPunct w:val="0"/>
              <w:autoSpaceDE w:val="0"/>
              <w:autoSpaceDN w:val="0"/>
              <w:adjustRightInd w:val="0"/>
              <w:snapToGrid w:val="0"/>
              <w:spacing w:after="180" w:line="240" w:lineRule="auto"/>
              <w:contextualSpacing/>
              <w:jc w:val="both"/>
              <w:textAlignment w:val="baseline"/>
              <w:rPr>
                <w:rFonts w:ascii="Times New Roman" w:eastAsia="Times New Roman" w:hAnsi="Times New Roman" w:cs="Times New Roman"/>
                <w:kern w:val="2"/>
                <w:sz w:val="20"/>
                <w:szCs w:val="20"/>
                <w:lang w:eastAsia="ja-JP"/>
              </w:rPr>
            </w:pPr>
          </w:p>
          <w:p w14:paraId="443E5A85" w14:textId="6ACBBE4A" w:rsidR="008413D0" w:rsidRDefault="008413D0" w:rsidP="00AB420B">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sz w:val="20"/>
                <w:szCs w:val="20"/>
              </w:rPr>
            </w:pPr>
            <w:r w:rsidRPr="000E21D7">
              <w:rPr>
                <w:rFonts w:ascii="Times New Roman" w:hAnsi="Times New Roman" w:cs="Times New Roman"/>
                <w:b/>
                <w:sz w:val="20"/>
                <w:szCs w:val="20"/>
              </w:rPr>
              <w:t>RAN1#116b</w:t>
            </w:r>
            <w:r w:rsidR="000E21D7">
              <w:rPr>
                <w:rFonts w:ascii="Times New Roman" w:hAnsi="Times New Roman" w:cs="Times New Roman"/>
                <w:b/>
                <w:sz w:val="20"/>
                <w:szCs w:val="20"/>
              </w:rPr>
              <w:t>:</w:t>
            </w:r>
          </w:p>
          <w:p w14:paraId="0CA3F050" w14:textId="77777777" w:rsidR="000E21D7" w:rsidRPr="000E21D7" w:rsidRDefault="000E21D7" w:rsidP="00AB420B">
            <w:pPr>
              <w:overflowPunct w:val="0"/>
              <w:autoSpaceDE w:val="0"/>
              <w:autoSpaceDN w:val="0"/>
              <w:adjustRightInd w:val="0"/>
              <w:snapToGrid w:val="0"/>
              <w:spacing w:after="180" w:line="240" w:lineRule="auto"/>
              <w:contextualSpacing/>
              <w:jc w:val="both"/>
              <w:textAlignment w:val="baseline"/>
              <w:rPr>
                <w:rFonts w:ascii="Times New Roman" w:hAnsi="Times New Roman" w:cs="Times New Roman"/>
                <w:b/>
                <w:bCs/>
                <w:sz w:val="20"/>
                <w:szCs w:val="20"/>
              </w:rPr>
            </w:pPr>
          </w:p>
          <w:p w14:paraId="5DB5AB6E" w14:textId="77777777" w:rsidR="008413D0" w:rsidRPr="008413D0" w:rsidRDefault="008413D0" w:rsidP="00D521CC">
            <w:pPr>
              <w:spacing w:after="0"/>
              <w:rPr>
                <w:rFonts w:ascii="Times New Roman" w:eastAsia="Batang" w:hAnsi="Times New Roman" w:cs="Times New Roman"/>
                <w:iCs/>
                <w:sz w:val="20"/>
                <w:szCs w:val="20"/>
                <w:lang w:eastAsia="x-none"/>
              </w:rPr>
            </w:pPr>
            <w:r w:rsidRPr="008413D0">
              <w:rPr>
                <w:rFonts w:ascii="Times New Roman" w:hAnsi="Times New Roman" w:cs="Times New Roman"/>
                <w:iCs/>
                <w:sz w:val="20"/>
                <w:szCs w:val="20"/>
                <w:highlight w:val="green"/>
                <w:lang w:eastAsia="x-none"/>
              </w:rPr>
              <w:t>Agreement</w:t>
            </w:r>
          </w:p>
          <w:p w14:paraId="1D7E7E18" w14:textId="77777777" w:rsidR="008413D0" w:rsidRPr="008413D0" w:rsidRDefault="008413D0" w:rsidP="00D521CC">
            <w:pPr>
              <w:pStyle w:val="ListParagraph"/>
              <w:autoSpaceDE w:val="0"/>
              <w:autoSpaceDN w:val="0"/>
              <w:adjustRightInd w:val="0"/>
              <w:snapToGrid w:val="0"/>
              <w:ind w:left="0"/>
              <w:contextualSpacing/>
              <w:jc w:val="both"/>
              <w:rPr>
                <w:rFonts w:ascii="Times New Roman" w:hAnsi="Times New Roman" w:cs="Times New Roman"/>
                <w:sz w:val="20"/>
                <w:szCs w:val="20"/>
                <w:lang w:eastAsia="x-none"/>
              </w:rPr>
            </w:pPr>
            <w:bookmarkStart w:id="4" w:name="OLE_LINK5"/>
            <w:r w:rsidRPr="008413D0">
              <w:rPr>
                <w:rFonts w:ascii="Times New Roman" w:hAnsi="Times New Roman" w:cs="Times New Roman"/>
                <w:sz w:val="20"/>
                <w:szCs w:val="20"/>
              </w:rPr>
              <w:lastRenderedPageBreak/>
              <w:t xml:space="preserve">For the R2D </w:t>
            </w:r>
            <w:bookmarkStart w:id="5" w:name="_Hlk164697579"/>
            <w:r w:rsidRPr="008413D0">
              <w:rPr>
                <w:rFonts w:ascii="Times New Roman" w:hAnsi="Times New Roman" w:cs="Times New Roman"/>
                <w:sz w:val="20"/>
                <w:szCs w:val="20"/>
              </w:rPr>
              <w:t xml:space="preserve">timing acquisition signal </w:t>
            </w:r>
            <w:bookmarkEnd w:id="5"/>
            <w:r w:rsidRPr="008413D0">
              <w:rPr>
                <w:rFonts w:ascii="Times New Roman" w:hAnsi="Times New Roman" w:cs="Times New Roman"/>
                <w:sz w:val="20"/>
                <w:szCs w:val="20"/>
              </w:rPr>
              <w:t>immediately preceding the transmission of a physical channel</w:t>
            </w:r>
            <w:bookmarkEnd w:id="4"/>
            <w:r w:rsidRPr="008413D0">
              <w:rPr>
                <w:rFonts w:ascii="Times New Roman" w:hAnsi="Times New Roman" w:cs="Times New Roman"/>
                <w:sz w:val="20"/>
                <w:szCs w:val="20"/>
              </w:rPr>
              <w:t>, study a preamble with at least two parts which includes a start-indicator part and a clock-acquisition part, where the start-indicator part immediately precedes the clock-acquisition part:</w:t>
            </w:r>
          </w:p>
          <w:p w14:paraId="18B81E1C"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Start-indicator part provides the start of the R2D transmission</w:t>
            </w:r>
          </w:p>
          <w:p w14:paraId="6A67E545" w14:textId="77777777" w:rsidR="008413D0" w:rsidRPr="008413D0"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FFS: Details of start-indicator part</w:t>
            </w:r>
          </w:p>
          <w:p w14:paraId="2ED384C0"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Clock-acquisition part provides at least the chip synchronization of the subsequent physical channel transmission</w:t>
            </w:r>
          </w:p>
          <w:p w14:paraId="039876D2" w14:textId="77777777" w:rsidR="008413D0" w:rsidRPr="008413D0"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 xml:space="preserve">FFS: Details of clock-acquisition part, e.g. structure, encoding, length, etc. </w:t>
            </w:r>
          </w:p>
          <w:p w14:paraId="0B130B31" w14:textId="77777777" w:rsidR="008413D0" w:rsidRPr="008413D0"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 xml:space="preserve">FFS: Methods to determine chip duration of the subsequent physical channel transmission </w:t>
            </w:r>
          </w:p>
          <w:p w14:paraId="74A1136A" w14:textId="77777777" w:rsidR="008413D0" w:rsidRPr="008413D0"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FFS: Other functionalities</w:t>
            </w:r>
          </w:p>
          <w:p w14:paraId="6272C7AF"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Note: the preamble is considered not to be part of a physical channel</w:t>
            </w:r>
          </w:p>
          <w:p w14:paraId="68638047"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 xml:space="preserve">FFS: other part(s) of the preamble, if any </w:t>
            </w:r>
          </w:p>
          <w:p w14:paraId="4C3D1FB9"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bookmarkStart w:id="6" w:name="OLE_LINK4"/>
            <w:r w:rsidRPr="008413D0">
              <w:rPr>
                <w:rFonts w:ascii="Times New Roman" w:hAnsi="Times New Roman" w:cs="Times New Roman"/>
                <w:sz w:val="20"/>
                <w:szCs w:val="20"/>
              </w:rPr>
              <w:t>FFS: whether the above clock acquisition is sufficient for all devices</w:t>
            </w:r>
            <w:bookmarkEnd w:id="6"/>
          </w:p>
          <w:p w14:paraId="5FF6E6AE"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FFS: how to make the preamble compact</w:t>
            </w:r>
          </w:p>
          <w:p w14:paraId="06F02BED" w14:textId="77777777" w:rsidR="008413D0" w:rsidRDefault="008413D0" w:rsidP="00D521CC">
            <w:pPr>
              <w:widowControl w:val="0"/>
              <w:autoSpaceDE w:val="0"/>
              <w:autoSpaceDN w:val="0"/>
              <w:adjustRightInd w:val="0"/>
              <w:spacing w:after="0" w:line="240" w:lineRule="auto"/>
              <w:jc w:val="both"/>
              <w:rPr>
                <w:rFonts w:ascii="Times New Roman" w:hAnsi="Times New Roman" w:cs="Times New Roman"/>
                <w:sz w:val="20"/>
                <w:szCs w:val="20"/>
              </w:rPr>
            </w:pPr>
          </w:p>
          <w:p w14:paraId="4AECB316" w14:textId="77777777" w:rsidR="008413D0" w:rsidRPr="000E21D7" w:rsidRDefault="008413D0" w:rsidP="00D521CC">
            <w:pPr>
              <w:spacing w:after="0"/>
              <w:rPr>
                <w:rFonts w:ascii="Times New Roman" w:hAnsi="Times New Roman" w:cs="Times New Roman"/>
                <w:sz w:val="20"/>
                <w:szCs w:val="20"/>
                <w:lang w:eastAsia="x-none"/>
              </w:rPr>
            </w:pPr>
            <w:r w:rsidRPr="000E21D7">
              <w:rPr>
                <w:rFonts w:ascii="Times New Roman" w:hAnsi="Times New Roman" w:cs="Times New Roman"/>
                <w:sz w:val="20"/>
                <w:szCs w:val="20"/>
                <w:highlight w:val="green"/>
                <w:lang w:eastAsia="x-none"/>
              </w:rPr>
              <w:t>Agreement</w:t>
            </w:r>
          </w:p>
          <w:p w14:paraId="759F25A3" w14:textId="77777777" w:rsidR="008413D0" w:rsidRPr="008413D0" w:rsidRDefault="008413D0" w:rsidP="008413D0">
            <w:pPr>
              <w:pStyle w:val="ListParagraph"/>
              <w:autoSpaceDE w:val="0"/>
              <w:autoSpaceDN w:val="0"/>
              <w:adjustRightInd w:val="0"/>
              <w:snapToGrid w:val="0"/>
              <w:ind w:left="0"/>
              <w:contextualSpacing/>
              <w:jc w:val="both"/>
              <w:rPr>
                <w:rFonts w:ascii="Times New Roman" w:hAnsi="Times New Roman" w:cs="Times New Roman"/>
                <w:sz w:val="20"/>
                <w:szCs w:val="20"/>
                <w:lang w:eastAsia="x-none"/>
              </w:rPr>
            </w:pPr>
            <w:r w:rsidRPr="008413D0">
              <w:rPr>
                <w:rFonts w:ascii="Times New Roman" w:hAnsi="Times New Roman" w:cs="Times New Roman"/>
                <w:sz w:val="20"/>
                <w:szCs w:val="20"/>
              </w:rPr>
              <w:t>For D2R, a preamble preceding each PDRCH transmission is studied as the baseline at least for the D2R timing acquisition signal:</w:t>
            </w:r>
          </w:p>
          <w:p w14:paraId="7573C577"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Preamble is not part of PDRCH</w:t>
            </w:r>
          </w:p>
          <w:p w14:paraId="756B4BC1"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FFS: Other functionalities of the preamble</w:t>
            </w:r>
          </w:p>
          <w:p w14:paraId="71D241FB" w14:textId="77777777" w:rsidR="008413D0" w:rsidRDefault="008413D0" w:rsidP="00D521CC">
            <w:pPr>
              <w:widowControl w:val="0"/>
              <w:autoSpaceDE w:val="0"/>
              <w:autoSpaceDN w:val="0"/>
              <w:adjustRightInd w:val="0"/>
              <w:spacing w:after="0" w:line="240" w:lineRule="auto"/>
              <w:jc w:val="both"/>
              <w:rPr>
                <w:rFonts w:ascii="Times New Roman" w:hAnsi="Times New Roman" w:cs="Times New Roman"/>
                <w:sz w:val="20"/>
                <w:szCs w:val="20"/>
              </w:rPr>
            </w:pPr>
          </w:p>
          <w:p w14:paraId="0FB08BE6" w14:textId="77777777" w:rsidR="008413D0" w:rsidRPr="000E21D7" w:rsidRDefault="008413D0" w:rsidP="00D521CC">
            <w:pPr>
              <w:spacing w:after="0"/>
              <w:rPr>
                <w:rFonts w:ascii="Times New Roman" w:hAnsi="Times New Roman" w:cs="Times New Roman"/>
                <w:sz w:val="20"/>
                <w:szCs w:val="20"/>
                <w:lang w:eastAsia="x-none"/>
              </w:rPr>
            </w:pPr>
            <w:r w:rsidRPr="000E21D7">
              <w:rPr>
                <w:rFonts w:ascii="Times New Roman" w:hAnsi="Times New Roman" w:cs="Times New Roman"/>
                <w:sz w:val="20"/>
                <w:szCs w:val="20"/>
                <w:highlight w:val="green"/>
                <w:lang w:eastAsia="x-none"/>
              </w:rPr>
              <w:t>Agreement</w:t>
            </w:r>
            <w:bookmarkStart w:id="7" w:name="OLE_LINK8"/>
          </w:p>
          <w:p w14:paraId="02F3B559" w14:textId="77777777" w:rsidR="008413D0" w:rsidRPr="008413D0" w:rsidRDefault="008413D0" w:rsidP="008413D0">
            <w:pPr>
              <w:pStyle w:val="ListParagraph"/>
              <w:autoSpaceDE w:val="0"/>
              <w:autoSpaceDN w:val="0"/>
              <w:adjustRightInd w:val="0"/>
              <w:snapToGrid w:val="0"/>
              <w:ind w:left="0"/>
              <w:contextualSpacing/>
              <w:jc w:val="both"/>
              <w:rPr>
                <w:rFonts w:ascii="Times New Roman" w:hAnsi="Times New Roman" w:cs="Times New Roman"/>
                <w:sz w:val="20"/>
                <w:szCs w:val="20"/>
                <w:lang w:eastAsia="x-none"/>
              </w:rPr>
            </w:pPr>
            <w:r w:rsidRPr="008413D0">
              <w:rPr>
                <w:rFonts w:ascii="Times New Roman" w:hAnsi="Times New Roman" w:cs="Times New Roman"/>
                <w:sz w:val="20"/>
                <w:szCs w:val="20"/>
              </w:rPr>
              <w:t>For PRDCH generation at the reader, at least following blocks are studied as the baseline:</w:t>
            </w:r>
          </w:p>
          <w:p w14:paraId="5A80D30C"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CRC bits are appended if there is non-zero length CRC</w:t>
            </w:r>
          </w:p>
          <w:p w14:paraId="1B2D6AA6" w14:textId="77777777" w:rsidR="008413D0" w:rsidRPr="008413D0"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Note: CRC details discussed in agenda item 9.4.2.1</w:t>
            </w:r>
          </w:p>
          <w:p w14:paraId="38613361"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 xml:space="preserve">Line coding block </w:t>
            </w:r>
          </w:p>
          <w:p w14:paraId="03FCD840"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 xml:space="preserve">OOK-1/OOK-4 modulation with OFDM waveform generation, including resource mapping </w:t>
            </w:r>
          </w:p>
          <w:p w14:paraId="1600B1B8" w14:textId="77777777" w:rsidR="008413D0" w:rsidRPr="008413D0"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FFS details</w:t>
            </w:r>
          </w:p>
          <w:p w14:paraId="33AEA89A"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Note: Other blocks could be added if agreed</w:t>
            </w:r>
          </w:p>
          <w:p w14:paraId="4E86DDBB" w14:textId="77777777" w:rsidR="008413D0" w:rsidRPr="008413D0" w:rsidRDefault="008413D0" w:rsidP="008413D0">
            <w:pPr>
              <w:pStyle w:val="ListParagraph"/>
              <w:ind w:left="800"/>
              <w:rPr>
                <w:rFonts w:ascii="Times New Roman" w:hAnsi="Times New Roman" w:cs="Times New Roman"/>
                <w:noProof/>
                <w:sz w:val="20"/>
                <w:szCs w:val="20"/>
              </w:rPr>
            </w:pPr>
          </w:p>
          <w:p w14:paraId="26F53B35" w14:textId="19F4E758" w:rsidR="008413D0" w:rsidRPr="008413D0" w:rsidRDefault="008413D0" w:rsidP="008413D0">
            <w:pPr>
              <w:pStyle w:val="ListParagraph"/>
              <w:ind w:left="800"/>
              <w:rPr>
                <w:rFonts w:ascii="Times New Roman" w:hAnsi="Times New Roman" w:cs="Times New Roman"/>
                <w:sz w:val="20"/>
                <w:szCs w:val="20"/>
              </w:rPr>
            </w:pPr>
            <w:r w:rsidRPr="008413D0">
              <w:rPr>
                <w:rFonts w:ascii="Times New Roman" w:hAnsi="Times New Roman" w:cs="Times New Roman"/>
                <w:noProof/>
                <w:sz w:val="20"/>
                <w:szCs w:val="20"/>
              </w:rPr>
              <w:drawing>
                <wp:inline distT="0" distB="0" distL="0" distR="0" wp14:anchorId="527D84FA" wp14:editId="294D6A54">
                  <wp:extent cx="5943600" cy="3797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79730"/>
                          </a:xfrm>
                          <a:prstGeom prst="rect">
                            <a:avLst/>
                          </a:prstGeom>
                          <a:noFill/>
                          <a:ln>
                            <a:noFill/>
                          </a:ln>
                        </pic:spPr>
                      </pic:pic>
                    </a:graphicData>
                  </a:graphic>
                </wp:inline>
              </w:drawing>
            </w:r>
            <w:r w:rsidRPr="008413D0">
              <w:rPr>
                <w:rFonts w:ascii="Times New Roman" w:hAnsi="Times New Roman" w:cs="Times New Roman"/>
                <w:sz w:val="20"/>
                <w:szCs w:val="20"/>
              </w:rPr>
              <w:t xml:space="preserve"> </w:t>
            </w:r>
          </w:p>
          <w:p w14:paraId="28ED25CA" w14:textId="77777777" w:rsidR="008413D0" w:rsidRPr="008413D0" w:rsidRDefault="008413D0" w:rsidP="008413D0">
            <w:pPr>
              <w:pStyle w:val="ListParagraph"/>
              <w:ind w:left="800"/>
              <w:jc w:val="center"/>
              <w:rPr>
                <w:rFonts w:ascii="Times New Roman" w:hAnsi="Times New Roman" w:cs="Times New Roman"/>
                <w:b/>
                <w:bCs/>
                <w:sz w:val="20"/>
                <w:szCs w:val="20"/>
              </w:rPr>
            </w:pPr>
            <w:r w:rsidRPr="008413D0">
              <w:rPr>
                <w:rFonts w:ascii="Times New Roman" w:hAnsi="Times New Roman" w:cs="Times New Roman"/>
                <w:sz w:val="20"/>
                <w:szCs w:val="20"/>
              </w:rPr>
              <w:t>PRDCH generation</w:t>
            </w:r>
          </w:p>
          <w:bookmarkEnd w:id="7"/>
          <w:p w14:paraId="2CCF7F70" w14:textId="77777777" w:rsidR="008413D0" w:rsidRPr="008413D0" w:rsidRDefault="008413D0" w:rsidP="008413D0">
            <w:pPr>
              <w:rPr>
                <w:rFonts w:ascii="Times New Roman" w:hAnsi="Times New Roman" w:cs="Times New Roman"/>
                <w:iCs/>
                <w:sz w:val="20"/>
                <w:szCs w:val="20"/>
                <w:lang w:eastAsia="x-none"/>
              </w:rPr>
            </w:pPr>
          </w:p>
          <w:p w14:paraId="2F58C959" w14:textId="77777777" w:rsidR="008413D0" w:rsidRPr="000E21D7" w:rsidRDefault="008413D0" w:rsidP="00FD31E8">
            <w:pPr>
              <w:spacing w:after="0"/>
              <w:rPr>
                <w:rFonts w:ascii="Times New Roman" w:hAnsi="Times New Roman" w:cs="Times New Roman"/>
                <w:sz w:val="20"/>
                <w:szCs w:val="20"/>
                <w:lang w:eastAsia="x-none"/>
              </w:rPr>
            </w:pPr>
            <w:r w:rsidRPr="000E21D7">
              <w:rPr>
                <w:rFonts w:ascii="Times New Roman" w:hAnsi="Times New Roman" w:cs="Times New Roman"/>
                <w:sz w:val="20"/>
                <w:szCs w:val="20"/>
                <w:highlight w:val="green"/>
                <w:lang w:eastAsia="x-none"/>
              </w:rPr>
              <w:t>Agreement</w:t>
            </w:r>
          </w:p>
          <w:p w14:paraId="7C31371E" w14:textId="77777777" w:rsidR="008413D0" w:rsidRPr="008413D0" w:rsidRDefault="008413D0" w:rsidP="008413D0">
            <w:pPr>
              <w:pStyle w:val="ListParagraph"/>
              <w:autoSpaceDE w:val="0"/>
              <w:autoSpaceDN w:val="0"/>
              <w:adjustRightInd w:val="0"/>
              <w:snapToGrid w:val="0"/>
              <w:ind w:left="0"/>
              <w:contextualSpacing/>
              <w:jc w:val="both"/>
              <w:rPr>
                <w:rFonts w:ascii="Times New Roman" w:hAnsi="Times New Roman" w:cs="Times New Roman"/>
                <w:sz w:val="20"/>
                <w:szCs w:val="20"/>
                <w:lang w:eastAsia="x-none"/>
              </w:rPr>
            </w:pPr>
            <w:r w:rsidRPr="008413D0">
              <w:rPr>
                <w:rFonts w:ascii="Times New Roman" w:hAnsi="Times New Roman" w:cs="Times New Roman"/>
                <w:sz w:val="20"/>
                <w:szCs w:val="20"/>
              </w:rPr>
              <w:t>For PDRCH generation at the device, at least following blocks are studied as the baseline:</w:t>
            </w:r>
          </w:p>
          <w:p w14:paraId="071C674C"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CRC bits are appended if there is non-zero length CRC</w:t>
            </w:r>
          </w:p>
          <w:p w14:paraId="67B38993" w14:textId="77777777" w:rsidR="008413D0" w:rsidRPr="008413D0"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Note: CRC details discussed in agenda item 9.4.2.1</w:t>
            </w:r>
          </w:p>
          <w:p w14:paraId="6DB1CABB"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 xml:space="preserve">Coding </w:t>
            </w:r>
          </w:p>
          <w:p w14:paraId="58BB4B36" w14:textId="77777777" w:rsidR="008413D0" w:rsidRPr="008413D0"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Exact coding methods within the coding block, e.g. with/without line coding and/or FEC discussed under agenda 9.4.2.1</w:t>
            </w:r>
          </w:p>
          <w:p w14:paraId="24414A62" w14:textId="77777777" w:rsidR="008413D0" w:rsidRPr="008413D0" w:rsidRDefault="008413D0" w:rsidP="008413D0">
            <w:pPr>
              <w:widowControl w:val="0"/>
              <w:numPr>
                <w:ilvl w:val="1"/>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Note: If no line coding is used, there may be an additional block (e.g. square wave generator) before/after modulation block</w:t>
            </w:r>
          </w:p>
          <w:p w14:paraId="77CF5D6D"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Modulation</w:t>
            </w:r>
          </w:p>
          <w:p w14:paraId="694017E8" w14:textId="0CA61D68"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t>Note: Other blocks could be added if agreed</w:t>
            </w:r>
          </w:p>
          <w:p w14:paraId="5AE1FC1E" w14:textId="77777777" w:rsidR="008413D0" w:rsidRPr="008413D0" w:rsidRDefault="008413D0" w:rsidP="008413D0">
            <w:pPr>
              <w:pStyle w:val="ListParagraph"/>
              <w:ind w:left="800"/>
              <w:rPr>
                <w:rFonts w:ascii="Times New Roman" w:hAnsi="Times New Roman" w:cs="Times New Roman"/>
                <w:sz w:val="20"/>
                <w:szCs w:val="20"/>
              </w:rPr>
            </w:pPr>
          </w:p>
          <w:p w14:paraId="2A91E6C3" w14:textId="186279D8" w:rsidR="008413D0" w:rsidRPr="008413D0" w:rsidRDefault="008413D0" w:rsidP="008413D0">
            <w:pPr>
              <w:pStyle w:val="ListParagraph"/>
              <w:ind w:left="800"/>
              <w:jc w:val="center"/>
              <w:rPr>
                <w:rFonts w:ascii="Times New Roman" w:hAnsi="Times New Roman" w:cs="Times New Roman"/>
                <w:sz w:val="20"/>
                <w:szCs w:val="20"/>
              </w:rPr>
            </w:pPr>
            <w:r w:rsidRPr="008413D0">
              <w:rPr>
                <w:rFonts w:ascii="Times New Roman" w:hAnsi="Times New Roman" w:cs="Times New Roman"/>
                <w:noProof/>
                <w:sz w:val="20"/>
                <w:szCs w:val="20"/>
              </w:rPr>
              <w:t xml:space="preserve"> </w:t>
            </w:r>
            <w:r w:rsidRPr="008413D0">
              <w:rPr>
                <w:rFonts w:ascii="Times New Roman" w:hAnsi="Times New Roman" w:cs="Times New Roman"/>
                <w:noProof/>
                <w:sz w:val="20"/>
                <w:szCs w:val="20"/>
              </w:rPr>
              <w:drawing>
                <wp:inline distT="0" distB="0" distL="0" distR="0" wp14:anchorId="34633A05" wp14:editId="457AF053">
                  <wp:extent cx="5141595" cy="3968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41595" cy="396875"/>
                          </a:xfrm>
                          <a:prstGeom prst="rect">
                            <a:avLst/>
                          </a:prstGeom>
                          <a:noFill/>
                          <a:ln>
                            <a:noFill/>
                          </a:ln>
                        </pic:spPr>
                      </pic:pic>
                    </a:graphicData>
                  </a:graphic>
                </wp:inline>
              </w:drawing>
            </w:r>
          </w:p>
          <w:p w14:paraId="3A4E94D7" w14:textId="77777777" w:rsidR="008413D0" w:rsidRPr="008413D0" w:rsidRDefault="008413D0" w:rsidP="008413D0">
            <w:pPr>
              <w:pStyle w:val="ListParagraph"/>
              <w:ind w:left="800"/>
              <w:jc w:val="center"/>
              <w:rPr>
                <w:rFonts w:ascii="Times New Roman" w:hAnsi="Times New Roman" w:cs="Times New Roman"/>
                <w:b/>
                <w:bCs/>
                <w:sz w:val="20"/>
                <w:szCs w:val="20"/>
              </w:rPr>
            </w:pPr>
          </w:p>
          <w:p w14:paraId="73B0D950" w14:textId="77777777" w:rsidR="008413D0" w:rsidRPr="008413D0" w:rsidRDefault="008413D0" w:rsidP="008413D0">
            <w:pPr>
              <w:pStyle w:val="ListParagraph"/>
              <w:ind w:left="800"/>
              <w:jc w:val="center"/>
              <w:rPr>
                <w:rFonts w:ascii="Times New Roman" w:hAnsi="Times New Roman" w:cs="Times New Roman"/>
                <w:bCs/>
                <w:sz w:val="20"/>
                <w:szCs w:val="20"/>
              </w:rPr>
            </w:pPr>
            <w:r w:rsidRPr="008413D0">
              <w:rPr>
                <w:rFonts w:ascii="Times New Roman" w:hAnsi="Times New Roman" w:cs="Times New Roman"/>
                <w:bCs/>
                <w:sz w:val="20"/>
                <w:szCs w:val="20"/>
              </w:rPr>
              <w:t>PDRCH generation</w:t>
            </w:r>
          </w:p>
          <w:p w14:paraId="628DD0C4" w14:textId="77777777" w:rsidR="008413D0" w:rsidRPr="008413D0" w:rsidRDefault="008413D0" w:rsidP="008413D0">
            <w:pPr>
              <w:rPr>
                <w:rFonts w:ascii="Times New Roman" w:hAnsi="Times New Roman" w:cs="Times New Roman"/>
                <w:iCs/>
                <w:sz w:val="20"/>
                <w:szCs w:val="20"/>
                <w:lang w:eastAsia="x-none"/>
              </w:rPr>
            </w:pPr>
          </w:p>
          <w:p w14:paraId="39939CEA" w14:textId="77777777" w:rsidR="008413D0" w:rsidRPr="000E21D7" w:rsidRDefault="008413D0" w:rsidP="008413D0">
            <w:pPr>
              <w:pStyle w:val="0Maintext"/>
              <w:rPr>
                <w:sz w:val="20"/>
                <w:lang w:eastAsia="zh-CN"/>
              </w:rPr>
            </w:pPr>
            <w:r w:rsidRPr="000E21D7">
              <w:rPr>
                <w:sz w:val="20"/>
                <w:highlight w:val="green"/>
                <w:lang w:eastAsia="zh-CN"/>
              </w:rPr>
              <w:t>Agreement</w:t>
            </w:r>
          </w:p>
          <w:p w14:paraId="2A7A15FC" w14:textId="43715C4E" w:rsidR="008413D0" w:rsidRDefault="008413D0" w:rsidP="00FD31E8">
            <w:pPr>
              <w:pStyle w:val="ListParagraph"/>
              <w:ind w:left="0"/>
              <w:rPr>
                <w:rFonts w:ascii="Times New Roman" w:hAnsi="Times New Roman" w:cs="Times New Roman"/>
                <w:sz w:val="20"/>
                <w:szCs w:val="20"/>
              </w:rPr>
            </w:pPr>
            <w:r w:rsidRPr="008413D0">
              <w:rPr>
                <w:rFonts w:ascii="Times New Roman" w:hAnsi="Times New Roman" w:cs="Times New Roman"/>
                <w:sz w:val="20"/>
                <w:szCs w:val="20"/>
              </w:rPr>
              <w:t>Reference signals including at least DMRS, PTRS, CSI-RS/TRS, are not further studied for R2D.</w:t>
            </w:r>
          </w:p>
          <w:p w14:paraId="5F10DD68" w14:textId="77777777" w:rsidR="00FD31E8" w:rsidRPr="00FD31E8" w:rsidRDefault="00FD31E8" w:rsidP="00FD31E8">
            <w:pPr>
              <w:pStyle w:val="ListParagraph"/>
              <w:ind w:left="0"/>
              <w:rPr>
                <w:rFonts w:ascii="Times New Roman" w:hAnsi="Times New Roman" w:cs="Times New Roman"/>
                <w:sz w:val="20"/>
                <w:szCs w:val="20"/>
                <w:lang w:eastAsia="x-none"/>
              </w:rPr>
            </w:pPr>
          </w:p>
          <w:p w14:paraId="28AA2968" w14:textId="77777777" w:rsidR="008413D0" w:rsidRPr="000E21D7" w:rsidRDefault="008413D0" w:rsidP="008413D0">
            <w:pPr>
              <w:pStyle w:val="0Maintext"/>
              <w:rPr>
                <w:sz w:val="20"/>
                <w:lang w:eastAsia="zh-CN"/>
              </w:rPr>
            </w:pPr>
            <w:r w:rsidRPr="000E21D7">
              <w:rPr>
                <w:sz w:val="20"/>
                <w:highlight w:val="green"/>
                <w:lang w:eastAsia="zh-CN"/>
              </w:rPr>
              <w:t>Agreement</w:t>
            </w:r>
          </w:p>
          <w:p w14:paraId="230351DA" w14:textId="77777777" w:rsidR="008413D0" w:rsidRPr="008413D0" w:rsidRDefault="008413D0" w:rsidP="008413D0">
            <w:pPr>
              <w:pStyle w:val="ListParagraph"/>
              <w:autoSpaceDE w:val="0"/>
              <w:autoSpaceDN w:val="0"/>
              <w:adjustRightInd w:val="0"/>
              <w:snapToGrid w:val="0"/>
              <w:ind w:left="0"/>
              <w:contextualSpacing/>
              <w:jc w:val="both"/>
              <w:rPr>
                <w:rFonts w:ascii="Times New Roman" w:hAnsi="Times New Roman" w:cs="Times New Roman"/>
                <w:sz w:val="20"/>
                <w:szCs w:val="20"/>
                <w:lang w:eastAsia="x-none"/>
              </w:rPr>
            </w:pPr>
            <w:r w:rsidRPr="008413D0">
              <w:rPr>
                <w:rFonts w:ascii="Times New Roman" w:hAnsi="Times New Roman" w:cs="Times New Roman"/>
                <w:sz w:val="20"/>
                <w:szCs w:val="20"/>
              </w:rPr>
              <w:t>Reference signals including DMRS, PTRS, SRS, are not further studied for D2R</w:t>
            </w:r>
          </w:p>
          <w:p w14:paraId="5167CE38" w14:textId="77777777" w:rsidR="008413D0" w:rsidRPr="008413D0" w:rsidRDefault="008413D0" w:rsidP="008413D0">
            <w:pPr>
              <w:widowControl w:val="0"/>
              <w:numPr>
                <w:ilvl w:val="0"/>
                <w:numId w:val="20"/>
              </w:numPr>
              <w:autoSpaceDE w:val="0"/>
              <w:autoSpaceDN w:val="0"/>
              <w:adjustRightInd w:val="0"/>
              <w:spacing w:after="0" w:line="240" w:lineRule="auto"/>
              <w:jc w:val="both"/>
              <w:rPr>
                <w:rFonts w:ascii="Times New Roman" w:hAnsi="Times New Roman" w:cs="Times New Roman"/>
                <w:sz w:val="20"/>
                <w:szCs w:val="20"/>
              </w:rPr>
            </w:pPr>
            <w:r w:rsidRPr="008413D0">
              <w:rPr>
                <w:rFonts w:ascii="Times New Roman" w:hAnsi="Times New Roman" w:cs="Times New Roman"/>
                <w:sz w:val="20"/>
                <w:szCs w:val="20"/>
              </w:rPr>
              <w:lastRenderedPageBreak/>
              <w:t>Note: This doesn’t preclude the possibility to study preamble, midamble, postamble for different purposes, e.g. channel/interference estimation and/or proximity determination</w:t>
            </w:r>
          </w:p>
          <w:p w14:paraId="611F2327" w14:textId="77777777" w:rsidR="008413D0" w:rsidRDefault="008413D0" w:rsidP="001928B7">
            <w:pPr>
              <w:widowControl w:val="0"/>
              <w:autoSpaceDE w:val="0"/>
              <w:autoSpaceDN w:val="0"/>
              <w:adjustRightInd w:val="0"/>
              <w:spacing w:after="0" w:line="240" w:lineRule="auto"/>
              <w:jc w:val="both"/>
              <w:rPr>
                <w:rFonts w:ascii="Times New Roman" w:hAnsi="Times New Roman" w:cs="Times New Roman"/>
                <w:sz w:val="20"/>
                <w:szCs w:val="20"/>
              </w:rPr>
            </w:pPr>
          </w:p>
          <w:p w14:paraId="585F8334" w14:textId="77777777" w:rsidR="008413D0" w:rsidRPr="000E21D7" w:rsidRDefault="008413D0" w:rsidP="008413D0">
            <w:pPr>
              <w:pStyle w:val="0Maintext"/>
              <w:rPr>
                <w:sz w:val="20"/>
                <w:lang w:eastAsia="zh-CN"/>
              </w:rPr>
            </w:pPr>
            <w:r w:rsidRPr="000E21D7">
              <w:rPr>
                <w:sz w:val="20"/>
                <w:highlight w:val="green"/>
                <w:lang w:eastAsia="zh-CN"/>
              </w:rPr>
              <w:t>Agreement</w:t>
            </w:r>
          </w:p>
          <w:p w14:paraId="63393CDA" w14:textId="77777777" w:rsidR="008413D0" w:rsidRPr="008413D0" w:rsidRDefault="008413D0" w:rsidP="008413D0">
            <w:pPr>
              <w:pStyle w:val="ListParagraph"/>
              <w:autoSpaceDE w:val="0"/>
              <w:autoSpaceDN w:val="0"/>
              <w:adjustRightInd w:val="0"/>
              <w:snapToGrid w:val="0"/>
              <w:ind w:left="0"/>
              <w:contextualSpacing/>
              <w:jc w:val="both"/>
              <w:rPr>
                <w:rFonts w:ascii="Times New Roman" w:hAnsi="Times New Roman" w:cs="Times New Roman"/>
                <w:sz w:val="20"/>
                <w:szCs w:val="20"/>
                <w:lang w:eastAsia="x-none"/>
              </w:rPr>
            </w:pPr>
            <w:r w:rsidRPr="008413D0">
              <w:rPr>
                <w:rFonts w:ascii="Times New Roman" w:hAnsi="Times New Roman" w:cs="Times New Roman"/>
                <w:sz w:val="20"/>
                <w:szCs w:val="20"/>
              </w:rPr>
              <w:t xml:space="preserve">Proximity determination based on device side measurements is not considered. </w:t>
            </w:r>
          </w:p>
          <w:p w14:paraId="7B414A80" w14:textId="0ECA8422" w:rsidR="008413D0" w:rsidRPr="008413D0" w:rsidRDefault="008413D0" w:rsidP="00AB420B">
            <w:pPr>
              <w:overflowPunct w:val="0"/>
              <w:autoSpaceDE w:val="0"/>
              <w:autoSpaceDN w:val="0"/>
              <w:adjustRightInd w:val="0"/>
              <w:snapToGrid w:val="0"/>
              <w:spacing w:after="180" w:line="240" w:lineRule="auto"/>
              <w:contextualSpacing/>
              <w:jc w:val="both"/>
              <w:textAlignment w:val="baseline"/>
              <w:rPr>
                <w:rFonts w:ascii="Times New Roman" w:eastAsia="Times New Roman" w:hAnsi="Times New Roman" w:cs="Times New Roman"/>
                <w:b/>
                <w:bCs/>
                <w:kern w:val="2"/>
                <w:sz w:val="20"/>
                <w:szCs w:val="20"/>
                <w:lang w:val="x-none" w:eastAsia="ja-JP"/>
              </w:rPr>
            </w:pPr>
          </w:p>
        </w:tc>
      </w:tr>
    </w:tbl>
    <w:p w14:paraId="5B4CBD56" w14:textId="6DFF2DD1" w:rsidR="0094562C" w:rsidRPr="00015366" w:rsidRDefault="0094562C" w:rsidP="0094562C">
      <w:pPr>
        <w:pStyle w:val="BodyText"/>
        <w:spacing w:before="120"/>
        <w:rPr>
          <w:lang w:eastAsia="ja-JP"/>
        </w:rPr>
      </w:pPr>
      <w:r w:rsidRPr="00BB32EE">
        <w:lastRenderedPageBreak/>
        <w:t xml:space="preserve">In this contribution, </w:t>
      </w:r>
      <w:r w:rsidRPr="007E561B">
        <w:t xml:space="preserve">we provide our views </w:t>
      </w:r>
      <w:r w:rsidRPr="00BB32EE">
        <w:t xml:space="preserve">on </w:t>
      </w:r>
      <w:r w:rsidR="001E40AE" w:rsidRPr="001E40AE">
        <w:t>preamble, midamble</w:t>
      </w:r>
      <w:r w:rsidRPr="001E40AE">
        <w:t xml:space="preserve">, and </w:t>
      </w:r>
      <w:r w:rsidR="001E40AE" w:rsidRPr="001E40AE">
        <w:t>postamble</w:t>
      </w:r>
      <w:r w:rsidRPr="001E40AE">
        <w:t xml:space="preserve"> in both D2R and R2D transmissions</w:t>
      </w:r>
      <w:r w:rsidR="001E40AE" w:rsidRPr="001E40AE">
        <w:t xml:space="preserve">, </w:t>
      </w:r>
      <w:r w:rsidRPr="001E40AE">
        <w:t xml:space="preserve">control information, </w:t>
      </w:r>
      <w:r w:rsidR="001E40AE" w:rsidRPr="001E40AE">
        <w:t>TB size</w:t>
      </w:r>
      <w:r w:rsidRPr="001E40AE">
        <w:t xml:space="preserve">, </w:t>
      </w:r>
      <w:r w:rsidR="00861CF1">
        <w:t xml:space="preserve">and </w:t>
      </w:r>
      <w:r w:rsidRPr="001E40AE">
        <w:t>proximity determination</w:t>
      </w:r>
      <w:r w:rsidRPr="00BB32EE">
        <w:t>.</w:t>
      </w:r>
    </w:p>
    <w:p w14:paraId="07329A4D" w14:textId="77777777" w:rsidR="008413D0" w:rsidRDefault="008413D0" w:rsidP="008413D0">
      <w:pPr>
        <w:pStyle w:val="Heading1"/>
        <w:numPr>
          <w:ilvl w:val="0"/>
          <w:numId w:val="16"/>
        </w:numPr>
        <w:jc w:val="both"/>
        <w:rPr>
          <w:lang w:val="en-US" w:eastAsia="zh-CN"/>
        </w:rPr>
      </w:pPr>
      <w:bookmarkStart w:id="8" w:name="_Toc158642077"/>
      <w:bookmarkStart w:id="9" w:name="_Toc158642078"/>
      <w:bookmarkStart w:id="10" w:name="_Toc158642079"/>
      <w:bookmarkEnd w:id="8"/>
      <w:bookmarkEnd w:id="9"/>
      <w:bookmarkEnd w:id="10"/>
      <w:r w:rsidRPr="00306EDC">
        <w:rPr>
          <w:lang w:val="en-US" w:eastAsia="zh-CN"/>
        </w:rPr>
        <w:t>R2D and D2R synchronization</w:t>
      </w:r>
    </w:p>
    <w:p w14:paraId="6E09FE20" w14:textId="088597B0" w:rsidR="008413D0" w:rsidRDefault="0032191D" w:rsidP="008413D0">
      <w:pPr>
        <w:keepNext/>
        <w:keepLines/>
        <w:numPr>
          <w:ilvl w:val="1"/>
          <w:numId w:val="36"/>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bookmarkStart w:id="11" w:name="OLE_LINK25"/>
      <w:r w:rsidRPr="005F0EB8">
        <w:rPr>
          <w:rFonts w:eastAsia="Times New Roman" w:cs="Arial"/>
          <w:sz w:val="32"/>
          <w:szCs w:val="32"/>
          <w:lang w:eastAsia="zh-CN"/>
        </w:rPr>
        <w:t>R</w:t>
      </w:r>
      <w:r>
        <w:rPr>
          <w:rFonts w:eastAsia="Times New Roman" w:cs="Arial"/>
          <w:sz w:val="32"/>
          <w:szCs w:val="32"/>
          <w:lang w:eastAsia="zh-CN"/>
        </w:rPr>
        <w:t>2D</w:t>
      </w:r>
      <w:r w:rsidRPr="005F0EB8">
        <w:rPr>
          <w:rFonts w:eastAsia="Times New Roman" w:cs="Arial"/>
          <w:sz w:val="32"/>
          <w:szCs w:val="32"/>
          <w:lang w:eastAsia="zh-CN"/>
        </w:rPr>
        <w:t xml:space="preserve"> preamble</w:t>
      </w:r>
    </w:p>
    <w:p w14:paraId="57A62ED2" w14:textId="59DFDE23" w:rsidR="002A7CFC" w:rsidRDefault="009B3201" w:rsidP="00961D2A">
      <w:pPr>
        <w:jc w:val="both"/>
        <w:rPr>
          <w:lang w:eastAsia="ja-JP"/>
        </w:rPr>
      </w:pPr>
      <w:r w:rsidRPr="005A6C41">
        <w:rPr>
          <w:lang w:eastAsia="ja-JP"/>
        </w:rPr>
        <w:t>A</w:t>
      </w:r>
      <w:r w:rsidR="005F7F60">
        <w:rPr>
          <w:lang w:eastAsia="ja-JP"/>
        </w:rPr>
        <w:t>n</w:t>
      </w:r>
      <w:r w:rsidRPr="005A6C41">
        <w:rPr>
          <w:lang w:eastAsia="ja-JP"/>
        </w:rPr>
        <w:t xml:space="preserve"> R2D preamble </w:t>
      </w:r>
      <w:r w:rsidR="003D5EB4">
        <w:rPr>
          <w:lang w:eastAsia="ja-JP"/>
        </w:rPr>
        <w:t xml:space="preserve">with </w:t>
      </w:r>
      <w:r w:rsidR="003D5EB4" w:rsidRPr="003D5EB4">
        <w:rPr>
          <w:lang w:eastAsia="ja-JP"/>
        </w:rPr>
        <w:t xml:space="preserve">a start-indicator part and a clock-acquisition part </w:t>
      </w:r>
      <w:r w:rsidRPr="005A6C41">
        <w:rPr>
          <w:lang w:eastAsia="ja-JP"/>
        </w:rPr>
        <w:t>was agreed in RAN1#116bis.</w:t>
      </w:r>
      <w:bookmarkEnd w:id="11"/>
      <w:r w:rsidR="003D5EB4">
        <w:rPr>
          <w:lang w:eastAsia="ja-JP"/>
        </w:rPr>
        <w:t xml:space="preserve"> </w:t>
      </w:r>
      <w:r w:rsidR="00961D2A">
        <w:rPr>
          <w:lang w:eastAsia="ja-JP"/>
        </w:rPr>
        <w:t xml:space="preserve">In our understanding, the </w:t>
      </w:r>
      <w:r w:rsidR="00526113">
        <w:rPr>
          <w:lang w:eastAsia="ja-JP"/>
        </w:rPr>
        <w:t>start-indicator (</w:t>
      </w:r>
      <w:r w:rsidR="00961D2A">
        <w:rPr>
          <w:lang w:eastAsia="ja-JP"/>
        </w:rPr>
        <w:t>delimiter</w:t>
      </w:r>
      <w:r w:rsidR="00526113">
        <w:rPr>
          <w:lang w:eastAsia="ja-JP"/>
        </w:rPr>
        <w:t>)</w:t>
      </w:r>
      <w:r w:rsidR="00961D2A">
        <w:rPr>
          <w:lang w:eastAsia="ja-JP"/>
        </w:rPr>
        <w:t xml:space="preserve"> is </w:t>
      </w:r>
      <w:r w:rsidR="00C96602">
        <w:rPr>
          <w:lang w:eastAsia="ja-JP"/>
        </w:rPr>
        <w:t>used</w:t>
      </w:r>
      <w:r w:rsidR="00B45D32">
        <w:rPr>
          <w:lang w:eastAsia="ja-JP"/>
        </w:rPr>
        <w:t xml:space="preserve"> </w:t>
      </w:r>
      <w:r w:rsidR="00961D2A">
        <w:rPr>
          <w:lang w:eastAsia="ja-JP"/>
        </w:rPr>
        <w:t>to indicate the start of</w:t>
      </w:r>
      <w:r w:rsidR="00961D2A" w:rsidDel="008726BD">
        <w:rPr>
          <w:lang w:eastAsia="ja-JP"/>
        </w:rPr>
        <w:t xml:space="preserve"> </w:t>
      </w:r>
      <w:r w:rsidR="00961D2A">
        <w:rPr>
          <w:lang w:eastAsia="ja-JP"/>
        </w:rPr>
        <w:t>R2D transmission</w:t>
      </w:r>
      <w:r w:rsidR="00526113">
        <w:rPr>
          <w:lang w:eastAsia="ja-JP"/>
        </w:rPr>
        <w:t xml:space="preserve"> for </w:t>
      </w:r>
      <w:r w:rsidR="001E40AE">
        <w:rPr>
          <w:lang w:eastAsia="ja-JP"/>
        </w:rPr>
        <w:t xml:space="preserve">some </w:t>
      </w:r>
      <w:r w:rsidR="00526113">
        <w:rPr>
          <w:lang w:eastAsia="ja-JP"/>
        </w:rPr>
        <w:t xml:space="preserve">passive </w:t>
      </w:r>
      <w:r w:rsidR="00B77660">
        <w:rPr>
          <w:lang w:eastAsia="ja-JP"/>
        </w:rPr>
        <w:t>devices</w:t>
      </w:r>
      <w:r w:rsidR="00961D2A">
        <w:rPr>
          <w:lang w:eastAsia="ja-JP"/>
        </w:rPr>
        <w:t xml:space="preserve">. </w:t>
      </w:r>
      <w:r w:rsidR="002E7794">
        <w:rPr>
          <w:lang w:eastAsia="ja-JP"/>
        </w:rPr>
        <w:t xml:space="preserve">For example, in RFID, </w:t>
      </w:r>
      <w:r w:rsidR="005371A3">
        <w:rPr>
          <w:lang w:eastAsia="ja-JP"/>
        </w:rPr>
        <w:t>after a</w:t>
      </w:r>
      <w:r w:rsidR="001E1C8D">
        <w:rPr>
          <w:lang w:eastAsia="ja-JP"/>
        </w:rPr>
        <w:t>n</w:t>
      </w:r>
      <w:r w:rsidR="005371A3">
        <w:rPr>
          <w:lang w:eastAsia="ja-JP"/>
        </w:rPr>
        <w:t xml:space="preserve"> RF power transfer session, a delimiter </w:t>
      </w:r>
      <w:r w:rsidR="00527B3E">
        <w:rPr>
          <w:lang w:eastAsia="ja-JP"/>
        </w:rPr>
        <w:t>(</w:t>
      </w:r>
      <w:r w:rsidR="0038356F">
        <w:rPr>
          <w:lang w:eastAsia="ja-JP"/>
        </w:rPr>
        <w:t>a gap containing a “</w:t>
      </w:r>
      <w:r w:rsidR="00527B3E">
        <w:rPr>
          <w:lang w:eastAsia="ja-JP"/>
        </w:rPr>
        <w:t>low</w:t>
      </w:r>
      <w:r w:rsidR="0038356F">
        <w:rPr>
          <w:lang w:eastAsia="ja-JP"/>
        </w:rPr>
        <w:t>”</w:t>
      </w:r>
      <w:r w:rsidR="00527B3E">
        <w:rPr>
          <w:lang w:eastAsia="ja-JP"/>
        </w:rPr>
        <w:t xml:space="preserve"> voltage signal) </w:t>
      </w:r>
      <w:r w:rsidR="005371A3">
        <w:rPr>
          <w:lang w:eastAsia="ja-JP"/>
        </w:rPr>
        <w:t xml:space="preserve">is </w:t>
      </w:r>
      <w:r w:rsidR="00B573AF">
        <w:rPr>
          <w:lang w:eastAsia="ja-JP"/>
        </w:rPr>
        <w:t>inserted before the transmission of a preamble</w:t>
      </w:r>
      <w:r w:rsidR="0000482C">
        <w:rPr>
          <w:lang w:eastAsia="ja-JP"/>
        </w:rPr>
        <w:t xml:space="preserve"> </w:t>
      </w:r>
      <w:r w:rsidR="0038356F">
        <w:rPr>
          <w:lang w:eastAsia="ja-JP"/>
        </w:rPr>
        <w:t>(</w:t>
      </w:r>
      <w:r w:rsidR="00742A9F">
        <w:rPr>
          <w:lang w:eastAsia="ja-JP"/>
        </w:rPr>
        <w:t xml:space="preserve">a “normal” voltage signal) </w:t>
      </w:r>
      <w:r w:rsidR="0000482C">
        <w:rPr>
          <w:lang w:eastAsia="ja-JP"/>
        </w:rPr>
        <w:t xml:space="preserve">and the RFID tag can detect the start of </w:t>
      </w:r>
      <w:r w:rsidR="0038356F">
        <w:rPr>
          <w:lang w:eastAsia="ja-JP"/>
        </w:rPr>
        <w:t xml:space="preserve">the RFID </w:t>
      </w:r>
      <w:r w:rsidR="0000482C">
        <w:rPr>
          <w:lang w:eastAsia="ja-JP"/>
        </w:rPr>
        <w:t xml:space="preserve">preamble due to </w:t>
      </w:r>
      <w:r w:rsidR="00527B3E">
        <w:rPr>
          <w:lang w:eastAsia="ja-JP"/>
        </w:rPr>
        <w:t>the differe</w:t>
      </w:r>
      <w:r w:rsidR="004D7BBD">
        <w:rPr>
          <w:lang w:eastAsia="ja-JP"/>
        </w:rPr>
        <w:t>nce in energy level of the two signals</w:t>
      </w:r>
      <w:r w:rsidR="00B573AF">
        <w:rPr>
          <w:lang w:eastAsia="ja-JP"/>
        </w:rPr>
        <w:t xml:space="preserve">. </w:t>
      </w:r>
      <w:r w:rsidR="002A7CFC">
        <w:rPr>
          <w:lang w:eastAsia="ja-JP"/>
        </w:rPr>
        <w:t xml:space="preserve">A delimiter is appropriate for A-IoT devices which rely on RF energy harvesting but not for A-IoT devices </w:t>
      </w:r>
      <w:r w:rsidR="00361787">
        <w:rPr>
          <w:lang w:eastAsia="ja-JP"/>
        </w:rPr>
        <w:t>which do not necessarily rely on</w:t>
      </w:r>
      <w:r w:rsidR="002A7CFC">
        <w:rPr>
          <w:lang w:eastAsia="ja-JP"/>
        </w:rPr>
        <w:t xml:space="preserve"> RF energy harvesting.</w:t>
      </w:r>
    </w:p>
    <w:p w14:paraId="343E40B6" w14:textId="5A75D860" w:rsidR="00932509" w:rsidRDefault="00932509" w:rsidP="00932509">
      <w:pPr>
        <w:pStyle w:val="Observation"/>
        <w:ind w:left="1701" w:hanging="1701"/>
        <w:jc w:val="left"/>
      </w:pPr>
      <w:bookmarkStart w:id="12" w:name="_Toc166257140"/>
      <w:r>
        <w:t xml:space="preserve">A </w:t>
      </w:r>
      <w:bookmarkStart w:id="13" w:name="OLE_LINK16"/>
      <w:r w:rsidR="005F5797">
        <w:t>start-indicator</w:t>
      </w:r>
      <w:r w:rsidR="00062560">
        <w:t xml:space="preserve"> </w:t>
      </w:r>
      <w:bookmarkEnd w:id="13"/>
      <w:r w:rsidR="00062560">
        <w:t>(delimiter)</w:t>
      </w:r>
      <w:r w:rsidR="005F5797">
        <w:t xml:space="preserve"> </w:t>
      </w:r>
      <w:r w:rsidR="00BE51A9">
        <w:t>can be use</w:t>
      </w:r>
      <w:r w:rsidR="001C2F5B">
        <w:t>d</w:t>
      </w:r>
      <w:r w:rsidR="00BE51A9">
        <w:t xml:space="preserve"> </w:t>
      </w:r>
      <w:r w:rsidR="000B305A">
        <w:t xml:space="preserve">for A-IoT devices </w:t>
      </w:r>
      <w:r w:rsidR="00BE51A9">
        <w:t xml:space="preserve">if there is </w:t>
      </w:r>
      <w:r w:rsidR="00062560">
        <w:t>a</w:t>
      </w:r>
      <w:r w:rsidR="00361787">
        <w:t>n</w:t>
      </w:r>
      <w:r w:rsidR="00062560">
        <w:t xml:space="preserve"> </w:t>
      </w:r>
      <w:r w:rsidR="00BE51A9">
        <w:t xml:space="preserve">RF power transfer </w:t>
      </w:r>
      <w:r w:rsidR="00062560">
        <w:t xml:space="preserve">session </w:t>
      </w:r>
      <w:r w:rsidR="00BE51A9">
        <w:t>before R2D preamble transmission</w:t>
      </w:r>
      <w:r>
        <w:t>.</w:t>
      </w:r>
      <w:bookmarkEnd w:id="12"/>
      <w:r>
        <w:t xml:space="preserve"> </w:t>
      </w:r>
    </w:p>
    <w:p w14:paraId="42AE0DAB" w14:textId="28D67963" w:rsidR="00840919" w:rsidRDefault="00840919" w:rsidP="00932509">
      <w:pPr>
        <w:pStyle w:val="Observation"/>
        <w:ind w:left="1701" w:hanging="1701"/>
        <w:jc w:val="left"/>
      </w:pPr>
      <w:bookmarkStart w:id="14" w:name="_Toc166257141"/>
      <w:r>
        <w:t xml:space="preserve">A start-indicator (delimiter) is not needed for </w:t>
      </w:r>
      <w:r w:rsidR="000B305A">
        <w:t>A-IoT devices</w:t>
      </w:r>
      <w:r w:rsidR="009E6B1B">
        <w:t xml:space="preserve"> which do not necessarily rely on RF energy harvesting</w:t>
      </w:r>
      <w:r w:rsidR="000B305A">
        <w:t>.</w:t>
      </w:r>
      <w:bookmarkEnd w:id="14"/>
    </w:p>
    <w:p w14:paraId="762F0873" w14:textId="4D75E5BA" w:rsidR="00961D2A" w:rsidRDefault="00F81FB9" w:rsidP="00961D2A">
      <w:pPr>
        <w:pStyle w:val="Proposal"/>
        <w:numPr>
          <w:ilvl w:val="0"/>
          <w:numId w:val="2"/>
        </w:numPr>
        <w:tabs>
          <w:tab w:val="clear" w:pos="1304"/>
        </w:tabs>
        <w:ind w:left="1701" w:hanging="1701"/>
        <w:jc w:val="left"/>
      </w:pPr>
      <w:bookmarkStart w:id="15" w:name="_Toc165985843"/>
      <w:bookmarkStart w:id="16" w:name="_Toc165991071"/>
      <w:bookmarkStart w:id="17" w:name="_Toc166057074"/>
      <w:bookmarkStart w:id="18" w:name="_Toc166057096"/>
      <w:bookmarkStart w:id="19" w:name="_Toc166257162"/>
      <w:bookmarkEnd w:id="15"/>
      <w:bookmarkEnd w:id="16"/>
      <w:bookmarkEnd w:id="17"/>
      <w:bookmarkEnd w:id="18"/>
      <w:r>
        <w:t xml:space="preserve">Start-indicator </w:t>
      </w:r>
      <w:r w:rsidR="00F22FDE">
        <w:t>part</w:t>
      </w:r>
      <w:r w:rsidR="00062560">
        <w:t xml:space="preserve"> can be </w:t>
      </w:r>
      <w:r w:rsidR="00840919">
        <w:t xml:space="preserve">optional </w:t>
      </w:r>
      <w:r w:rsidR="003523F1">
        <w:t>for some</w:t>
      </w:r>
      <w:r w:rsidR="00840919">
        <w:t xml:space="preserve"> A-IoT device</w:t>
      </w:r>
      <w:r w:rsidR="003523F1">
        <w:t>s</w:t>
      </w:r>
      <w:r w:rsidR="00840919">
        <w:t>.</w:t>
      </w:r>
      <w:bookmarkEnd w:id="19"/>
    </w:p>
    <w:p w14:paraId="7509B4DA" w14:textId="1E9217C5" w:rsidR="006741EA" w:rsidRDefault="00727CC0" w:rsidP="00F66BFD">
      <w:pPr>
        <w:jc w:val="both"/>
        <w:rPr>
          <w:lang w:eastAsia="ja-JP"/>
        </w:rPr>
      </w:pPr>
      <w:r>
        <w:rPr>
          <w:lang w:eastAsia="ja-JP"/>
        </w:rPr>
        <w:t xml:space="preserve">RAN1 has agreed to </w:t>
      </w:r>
      <w:r w:rsidR="007C5AC9">
        <w:rPr>
          <w:lang w:eastAsia="ja-JP"/>
        </w:rPr>
        <w:t>consider</w:t>
      </w:r>
      <w:r>
        <w:rPr>
          <w:lang w:eastAsia="ja-JP"/>
        </w:rPr>
        <w:t xml:space="preserve"> </w:t>
      </w:r>
      <w:r w:rsidR="002D0152">
        <w:rPr>
          <w:lang w:eastAsia="ja-JP"/>
        </w:rPr>
        <w:t xml:space="preserve">OFDM-based </w:t>
      </w:r>
      <w:r>
        <w:rPr>
          <w:lang w:eastAsia="ja-JP"/>
        </w:rPr>
        <w:t xml:space="preserve">OOK </w:t>
      </w:r>
      <w:r w:rsidR="007C5AC9">
        <w:rPr>
          <w:lang w:eastAsia="ja-JP"/>
        </w:rPr>
        <w:t xml:space="preserve">modulation </w:t>
      </w:r>
      <w:r>
        <w:rPr>
          <w:lang w:eastAsia="ja-JP"/>
        </w:rPr>
        <w:t xml:space="preserve">for </w:t>
      </w:r>
      <w:r w:rsidR="008D3EBB">
        <w:rPr>
          <w:lang w:eastAsia="ja-JP"/>
        </w:rPr>
        <w:t xml:space="preserve">R2D </w:t>
      </w:r>
      <w:r w:rsidR="00E729E6">
        <w:rPr>
          <w:lang w:eastAsia="ja-JP"/>
        </w:rPr>
        <w:t>data</w:t>
      </w:r>
      <w:r w:rsidR="00A32D65">
        <w:rPr>
          <w:lang w:eastAsia="ja-JP"/>
        </w:rPr>
        <w:t xml:space="preserve"> </w:t>
      </w:r>
      <w:r w:rsidR="00E729E6">
        <w:rPr>
          <w:lang w:eastAsia="ja-JP"/>
        </w:rPr>
        <w:t xml:space="preserve">transmission </w:t>
      </w:r>
      <w:r w:rsidR="007C5AC9">
        <w:rPr>
          <w:lang w:eastAsia="ja-JP"/>
        </w:rPr>
        <w:t xml:space="preserve">with </w:t>
      </w:r>
      <w:r w:rsidR="00CF1FB6">
        <w:rPr>
          <w:lang w:eastAsia="ja-JP"/>
        </w:rPr>
        <w:t xml:space="preserve">line coding based on </w:t>
      </w:r>
      <w:r w:rsidR="007C5AC9">
        <w:rPr>
          <w:lang w:eastAsia="ja-JP"/>
        </w:rPr>
        <w:t>either</w:t>
      </w:r>
      <w:r w:rsidR="00A32D65">
        <w:rPr>
          <w:lang w:eastAsia="ja-JP"/>
        </w:rPr>
        <w:t xml:space="preserve"> Manchester encoding or </w:t>
      </w:r>
      <w:r w:rsidR="00CF1FB6">
        <w:rPr>
          <w:lang w:eastAsia="ja-JP"/>
        </w:rPr>
        <w:t>P</w:t>
      </w:r>
      <w:r w:rsidR="00A32D65">
        <w:rPr>
          <w:lang w:eastAsia="ja-JP"/>
        </w:rPr>
        <w:t>ulse interval encoding</w:t>
      </w:r>
      <w:r w:rsidR="008D3EBB">
        <w:rPr>
          <w:lang w:eastAsia="ja-JP"/>
        </w:rPr>
        <w:t>.</w:t>
      </w:r>
      <w:r w:rsidR="00FF4522">
        <w:rPr>
          <w:lang w:eastAsia="ja-JP"/>
        </w:rPr>
        <w:t xml:space="preserve"> </w:t>
      </w:r>
      <w:r w:rsidR="00DE7BFC">
        <w:rPr>
          <w:lang w:eastAsia="ja-JP"/>
        </w:rPr>
        <w:t xml:space="preserve">Since Manchester encoding results in a self-clocking signal thanks to </w:t>
      </w:r>
      <w:r w:rsidR="00844B05">
        <w:rPr>
          <w:lang w:eastAsia="ja-JP"/>
        </w:rPr>
        <w:t xml:space="preserve">regular </w:t>
      </w:r>
      <w:r w:rsidR="009C5FF2">
        <w:rPr>
          <w:lang w:eastAsia="ja-JP"/>
        </w:rPr>
        <w:t>rising/falling edges</w:t>
      </w:r>
      <w:r w:rsidR="007556A2">
        <w:rPr>
          <w:lang w:eastAsia="ja-JP"/>
        </w:rPr>
        <w:t xml:space="preserve"> </w:t>
      </w:r>
      <w:r w:rsidR="001D606F">
        <w:rPr>
          <w:lang w:eastAsia="ja-JP"/>
        </w:rPr>
        <w:t>for every bit</w:t>
      </w:r>
      <w:r w:rsidR="00DE7BFC">
        <w:rPr>
          <w:lang w:eastAsia="ja-JP"/>
        </w:rPr>
        <w:t xml:space="preserve">, it </w:t>
      </w:r>
      <w:r w:rsidR="007556A2">
        <w:rPr>
          <w:lang w:eastAsia="ja-JP"/>
        </w:rPr>
        <w:t>has</w:t>
      </w:r>
      <w:r w:rsidR="00DE7BFC">
        <w:rPr>
          <w:lang w:eastAsia="ja-JP"/>
        </w:rPr>
        <w:t xml:space="preserve"> also be</w:t>
      </w:r>
      <w:r w:rsidR="007556A2">
        <w:rPr>
          <w:lang w:eastAsia="ja-JP"/>
        </w:rPr>
        <w:t>en</w:t>
      </w:r>
      <w:r w:rsidR="00DE7BFC">
        <w:rPr>
          <w:lang w:eastAsia="ja-JP"/>
        </w:rPr>
        <w:t xml:space="preserve"> </w:t>
      </w:r>
      <w:r w:rsidR="007556A2">
        <w:rPr>
          <w:lang w:eastAsia="ja-JP"/>
        </w:rPr>
        <w:t xml:space="preserve">proposed </w:t>
      </w:r>
      <w:r w:rsidR="00844B05">
        <w:rPr>
          <w:lang w:eastAsia="ja-JP"/>
        </w:rPr>
        <w:t>to be used</w:t>
      </w:r>
      <w:r w:rsidR="00DE7BFC">
        <w:rPr>
          <w:lang w:eastAsia="ja-JP"/>
        </w:rPr>
        <w:t xml:space="preserve"> </w:t>
      </w:r>
      <w:r w:rsidR="001C450E">
        <w:rPr>
          <w:lang w:eastAsia="ja-JP"/>
        </w:rPr>
        <w:t xml:space="preserve">for </w:t>
      </w:r>
      <w:r w:rsidR="00DE7BFC">
        <w:rPr>
          <w:lang w:eastAsia="ja-JP"/>
        </w:rPr>
        <w:t>clock-acquisition signal.</w:t>
      </w:r>
      <w:r w:rsidR="001D606F">
        <w:rPr>
          <w:lang w:eastAsia="ja-JP"/>
        </w:rPr>
        <w:t xml:space="preserve"> </w:t>
      </w:r>
      <w:r w:rsidR="006741EA">
        <w:rPr>
          <w:lang w:eastAsia="ja-JP"/>
        </w:rPr>
        <w:t>For clock acquisition signal, however, it is not necessary to include line coding</w:t>
      </w:r>
      <w:r w:rsidR="001C450E">
        <w:rPr>
          <w:lang w:eastAsia="ja-JP"/>
        </w:rPr>
        <w:t>,</w:t>
      </w:r>
      <w:r w:rsidR="006741EA">
        <w:rPr>
          <w:lang w:eastAsia="ja-JP"/>
        </w:rPr>
        <w:t xml:space="preserve"> as the </w:t>
      </w:r>
      <w:r w:rsidR="00D72A5C">
        <w:rPr>
          <w:lang w:eastAsia="ja-JP"/>
        </w:rPr>
        <w:t xml:space="preserve">bit sequence of the OOK signal can be designed to ensure periodic </w:t>
      </w:r>
      <w:r w:rsidR="001D606F">
        <w:rPr>
          <w:lang w:eastAsia="ja-JP"/>
        </w:rPr>
        <w:t>rising/falling edges</w:t>
      </w:r>
      <w:r w:rsidR="00791C11">
        <w:rPr>
          <w:lang w:eastAsia="ja-JP"/>
        </w:rPr>
        <w:t>,</w:t>
      </w:r>
      <w:r w:rsidR="001D606F">
        <w:rPr>
          <w:lang w:eastAsia="ja-JP"/>
        </w:rPr>
        <w:t xml:space="preserve"> e.g.</w:t>
      </w:r>
      <w:r w:rsidR="00791C11">
        <w:rPr>
          <w:lang w:eastAsia="ja-JP"/>
        </w:rPr>
        <w:t>,</w:t>
      </w:r>
      <w:r w:rsidR="001D606F">
        <w:rPr>
          <w:lang w:eastAsia="ja-JP"/>
        </w:rPr>
        <w:t xml:space="preserve"> </w:t>
      </w:r>
      <w:r w:rsidR="00791C11">
        <w:rPr>
          <w:lang w:eastAsia="ja-JP"/>
        </w:rPr>
        <w:t>transmitting</w:t>
      </w:r>
      <w:r w:rsidR="001D606F">
        <w:rPr>
          <w:lang w:eastAsia="ja-JP"/>
        </w:rPr>
        <w:t xml:space="preserve"> a </w:t>
      </w:r>
      <w:r w:rsidR="00791C11">
        <w:rPr>
          <w:lang w:eastAsia="ja-JP"/>
        </w:rPr>
        <w:t xml:space="preserve">bit </w:t>
      </w:r>
      <w:r w:rsidR="001D606F">
        <w:rPr>
          <w:lang w:eastAsia="ja-JP"/>
        </w:rPr>
        <w:t xml:space="preserve">sequence </w:t>
      </w:r>
      <w:r w:rsidR="00791C11">
        <w:rPr>
          <w:lang w:eastAsia="ja-JP"/>
        </w:rPr>
        <w:t xml:space="preserve">of the form </w:t>
      </w:r>
      <w:r w:rsidR="001D606F">
        <w:rPr>
          <w:lang w:eastAsia="ja-JP"/>
        </w:rPr>
        <w:t>010101</w:t>
      </w:r>
      <w:r w:rsidR="00791C11">
        <w:rPr>
          <w:lang w:eastAsia="ja-JP"/>
        </w:rPr>
        <w:t xml:space="preserve"> using OOK modulation will also result in a self-clocking signal</w:t>
      </w:r>
      <w:r w:rsidR="00D72A5C">
        <w:rPr>
          <w:lang w:eastAsia="ja-JP"/>
        </w:rPr>
        <w:t>.</w:t>
      </w:r>
      <w:r w:rsidR="00FD09F0">
        <w:rPr>
          <w:lang w:eastAsia="ja-JP"/>
        </w:rPr>
        <w:t xml:space="preserve"> Depending on whether OOK-1 or OOK-4 is used, the reader can adjust the clock </w:t>
      </w:r>
      <w:r w:rsidR="00647880">
        <w:rPr>
          <w:lang w:eastAsia="ja-JP"/>
        </w:rPr>
        <w:t xml:space="preserve">rate </w:t>
      </w:r>
      <w:r w:rsidR="000B37ED">
        <w:rPr>
          <w:lang w:eastAsia="ja-JP"/>
        </w:rPr>
        <w:t>if needed.</w:t>
      </w:r>
    </w:p>
    <w:p w14:paraId="37DDE5FF" w14:textId="25B80AFC" w:rsidR="00176D9D" w:rsidRDefault="0035547F" w:rsidP="00886B32">
      <w:pPr>
        <w:pStyle w:val="Observation"/>
        <w:ind w:left="1701" w:hanging="1701"/>
        <w:jc w:val="left"/>
      </w:pPr>
      <w:bookmarkStart w:id="20" w:name="_Toc166257142"/>
      <w:r>
        <w:t xml:space="preserve">It is not necessary to use </w:t>
      </w:r>
      <w:r w:rsidR="00207C8E">
        <w:t>line coding</w:t>
      </w:r>
      <w:r>
        <w:t xml:space="preserve"> in the clock-acquisition signal</w:t>
      </w:r>
      <w:r w:rsidR="00D72A5C">
        <w:t xml:space="preserve"> as </w:t>
      </w:r>
      <w:r w:rsidR="003E14BA">
        <w:t>a pre-defined</w:t>
      </w:r>
      <w:r w:rsidR="00D72A5C">
        <w:t xml:space="preserve"> OOK s</w:t>
      </w:r>
      <w:r w:rsidR="003E14BA">
        <w:t>equence</w:t>
      </w:r>
      <w:r w:rsidR="00D72A5C">
        <w:t xml:space="preserve"> </w:t>
      </w:r>
      <w:r w:rsidR="00071885">
        <w:t>with</w:t>
      </w:r>
      <w:r w:rsidR="00182601">
        <w:t xml:space="preserve"> regular </w:t>
      </w:r>
      <w:r w:rsidR="00DE7BFC">
        <w:t>ON/OFF</w:t>
      </w:r>
      <w:r w:rsidR="00182601">
        <w:t xml:space="preserve"> transitions</w:t>
      </w:r>
      <w:r w:rsidR="00071885">
        <w:t xml:space="preserve"> can be </w:t>
      </w:r>
      <w:r w:rsidR="003E14BA">
        <w:t>used as a clock signal</w:t>
      </w:r>
      <w:r>
        <w:t>.</w:t>
      </w:r>
      <w:bookmarkEnd w:id="20"/>
    </w:p>
    <w:p w14:paraId="02B1BB77" w14:textId="6C13EA3E" w:rsidR="00AF4DF3" w:rsidRDefault="00AF4DF3" w:rsidP="00AF4DF3">
      <w:pPr>
        <w:pStyle w:val="Proposal"/>
        <w:numPr>
          <w:ilvl w:val="0"/>
          <w:numId w:val="2"/>
        </w:numPr>
        <w:tabs>
          <w:tab w:val="clear" w:pos="1304"/>
        </w:tabs>
        <w:ind w:left="1701" w:hanging="1701"/>
        <w:jc w:val="left"/>
      </w:pPr>
      <w:bookmarkStart w:id="21" w:name="_Toc166257163"/>
      <w:r>
        <w:t xml:space="preserve">Clock-acquisition signal can be based on </w:t>
      </w:r>
      <w:r w:rsidR="00AD330C">
        <w:t xml:space="preserve">pre-defined </w:t>
      </w:r>
      <w:r w:rsidR="00C56822">
        <w:t>OOK</w:t>
      </w:r>
      <w:r w:rsidR="00AD330C">
        <w:t xml:space="preserve"> sequences</w:t>
      </w:r>
      <w:r>
        <w:t>.</w:t>
      </w:r>
      <w:bookmarkEnd w:id="21"/>
    </w:p>
    <w:p w14:paraId="5616219D" w14:textId="14FFCA5E" w:rsidR="00C273BA" w:rsidRPr="00AE3428" w:rsidRDefault="000D55AC" w:rsidP="005A6C41">
      <w:pPr>
        <w:jc w:val="both"/>
      </w:pPr>
      <w:r w:rsidRPr="00AE3428">
        <w:t xml:space="preserve">If the chip duration for </w:t>
      </w:r>
      <w:r w:rsidR="00926E7C">
        <w:t xml:space="preserve">the subsequent </w:t>
      </w:r>
      <w:r w:rsidR="00AE3428">
        <w:t xml:space="preserve">R2D </w:t>
      </w:r>
      <w:r w:rsidR="00C321BC">
        <w:t>transmission</w:t>
      </w:r>
      <w:r w:rsidR="00AE3428" w:rsidRPr="00AE3428">
        <w:t xml:space="preserve"> is fixed and known to the device, </w:t>
      </w:r>
      <w:r w:rsidR="00DB479F">
        <w:t xml:space="preserve">there is no need to indicate it using the timing acquisition signal. </w:t>
      </w:r>
      <w:r w:rsidR="005A6C41">
        <w:t>I</w:t>
      </w:r>
      <w:r w:rsidR="00DB479F">
        <w:t xml:space="preserve">f the chip duration for </w:t>
      </w:r>
      <w:r w:rsidR="00A377A2">
        <w:t xml:space="preserve">the subsequent </w:t>
      </w:r>
      <w:r w:rsidR="00DB479F">
        <w:t>R2D</w:t>
      </w:r>
      <w:r w:rsidR="00A377A2">
        <w:t xml:space="preserve"> transmission </w:t>
      </w:r>
      <w:r w:rsidR="00DB479F">
        <w:t xml:space="preserve">is </w:t>
      </w:r>
      <w:r w:rsidR="00A377A2">
        <w:t xml:space="preserve">configurable, </w:t>
      </w:r>
      <w:r w:rsidR="00ED76A6">
        <w:t>it</w:t>
      </w:r>
      <w:r w:rsidR="00403CA4" w:rsidRPr="00AE3428">
        <w:t xml:space="preserve"> can be indicated </w:t>
      </w:r>
      <w:r w:rsidR="005A6C41">
        <w:t>in the control information following timing acquisition signal</w:t>
      </w:r>
      <w:r w:rsidR="00C469CA" w:rsidRPr="00AE3428">
        <w:t>.</w:t>
      </w:r>
      <w:r w:rsidR="005A6C41">
        <w:t xml:space="preserve"> In case that</w:t>
      </w:r>
      <w:r w:rsidR="001E4FF7">
        <w:t xml:space="preserve"> </w:t>
      </w:r>
      <w:r w:rsidR="00A30F73">
        <w:t xml:space="preserve">the control information is not always transmitted following a preamble transmission, it </w:t>
      </w:r>
      <w:r w:rsidR="005A6C41">
        <w:t>can be considered whether</w:t>
      </w:r>
      <w:r w:rsidR="00A30F73">
        <w:t xml:space="preserve"> to indicate the chip duration </w:t>
      </w:r>
      <w:r w:rsidR="00957A36">
        <w:t>using the R2D preamble.</w:t>
      </w:r>
    </w:p>
    <w:p w14:paraId="34472A29" w14:textId="4EB294D5" w:rsidR="00957A36" w:rsidRDefault="00957A36" w:rsidP="00886B32">
      <w:pPr>
        <w:pStyle w:val="Proposal"/>
        <w:numPr>
          <w:ilvl w:val="0"/>
          <w:numId w:val="2"/>
        </w:numPr>
        <w:tabs>
          <w:tab w:val="clear" w:pos="1304"/>
        </w:tabs>
        <w:ind w:left="1701" w:hanging="1701"/>
        <w:jc w:val="left"/>
      </w:pPr>
      <w:bookmarkStart w:id="22" w:name="_Toc166257164"/>
      <w:r>
        <w:t xml:space="preserve">If </w:t>
      </w:r>
      <w:r w:rsidR="000C76AE">
        <w:t>a</w:t>
      </w:r>
      <w:r w:rsidR="00C47F1D">
        <w:t>n</w:t>
      </w:r>
      <w:r w:rsidR="000C76AE">
        <w:t xml:space="preserve"> </w:t>
      </w:r>
      <w:r w:rsidR="00C520E4">
        <w:t xml:space="preserve">R2D </w:t>
      </w:r>
      <w:r w:rsidR="000C76AE">
        <w:t>preamble transmission is followed by R2D control information</w:t>
      </w:r>
      <w:r w:rsidR="00C8634B">
        <w:t>, the chip duration can be indicated using the R2D control information.</w:t>
      </w:r>
      <w:bookmarkEnd w:id="22"/>
    </w:p>
    <w:p w14:paraId="00294EE7" w14:textId="2C14F8E6" w:rsidR="00957A36" w:rsidRDefault="00C520E4" w:rsidP="005A6C41">
      <w:pPr>
        <w:jc w:val="both"/>
      </w:pPr>
      <w:r w:rsidRPr="00BB48EA">
        <w:t>It is not clear if the timing ac</w:t>
      </w:r>
      <w:r w:rsidR="00BB48EA" w:rsidRPr="00BB48EA">
        <w:t>quisition signal will be sufficient for acquiring frequency synchronization for all device types and architectures. There</w:t>
      </w:r>
      <w:r w:rsidR="00BB48EA">
        <w:t>fore,</w:t>
      </w:r>
      <w:r w:rsidR="00BB48EA" w:rsidRPr="00EC3BB6">
        <w:t xml:space="preserve"> </w:t>
      </w:r>
      <w:r w:rsidR="00EC3BB6">
        <w:t xml:space="preserve">more </w:t>
      </w:r>
      <w:r w:rsidR="0002348A">
        <w:t xml:space="preserve">RAN1 </w:t>
      </w:r>
      <w:r w:rsidR="00EC3BB6">
        <w:t xml:space="preserve">discussion </w:t>
      </w:r>
      <w:r w:rsidR="00AD3901">
        <w:t>is</w:t>
      </w:r>
      <w:r w:rsidR="00EC3BB6">
        <w:t xml:space="preserve"> needed</w:t>
      </w:r>
      <w:r w:rsidR="0002348A">
        <w:t xml:space="preserve"> on this aspect</w:t>
      </w:r>
      <w:r w:rsidR="00EC3BB6" w:rsidRPr="00EC3BB6">
        <w:t>.</w:t>
      </w:r>
    </w:p>
    <w:p w14:paraId="529F51CA" w14:textId="6B67D58D" w:rsidR="00C273BA" w:rsidRDefault="009A791A" w:rsidP="00886B32">
      <w:pPr>
        <w:pStyle w:val="Proposal"/>
        <w:numPr>
          <w:ilvl w:val="0"/>
          <w:numId w:val="2"/>
        </w:numPr>
        <w:tabs>
          <w:tab w:val="clear" w:pos="1304"/>
        </w:tabs>
        <w:ind w:left="1701" w:hanging="1701"/>
        <w:jc w:val="left"/>
      </w:pPr>
      <w:bookmarkStart w:id="23" w:name="_Toc166257165"/>
      <w:r>
        <w:t xml:space="preserve">RAN1 to </w:t>
      </w:r>
      <w:r w:rsidR="0002348A">
        <w:t>study</w:t>
      </w:r>
      <w:r>
        <w:t xml:space="preserve"> </w:t>
      </w:r>
      <w:r w:rsidR="00A64711">
        <w:t>if CFO correction can be acquired using the timing acquisition signal</w:t>
      </w:r>
      <w:r w:rsidR="0002348A">
        <w:t xml:space="preserve"> for all A-IoT device architectures</w:t>
      </w:r>
      <w:r w:rsidR="00C273BA">
        <w:t>.</w:t>
      </w:r>
      <w:bookmarkEnd w:id="23"/>
    </w:p>
    <w:p w14:paraId="68CCC42B" w14:textId="446D5311" w:rsidR="0032191D" w:rsidRDefault="0032191D" w:rsidP="0032191D">
      <w:pPr>
        <w:keepNext/>
        <w:keepLines/>
        <w:numPr>
          <w:ilvl w:val="1"/>
          <w:numId w:val="36"/>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Pr>
          <w:rFonts w:eastAsia="Times New Roman" w:cs="Arial"/>
          <w:sz w:val="32"/>
          <w:szCs w:val="32"/>
          <w:lang w:eastAsia="zh-CN"/>
        </w:rPr>
        <w:lastRenderedPageBreak/>
        <w:t>D2R preamble</w:t>
      </w:r>
    </w:p>
    <w:p w14:paraId="7D0A62D6" w14:textId="7B01E908" w:rsidR="00D341F1" w:rsidRDefault="003D5EB4" w:rsidP="003D5EB4">
      <w:pPr>
        <w:jc w:val="both"/>
        <w:rPr>
          <w:lang w:val="en-GB" w:eastAsia="ja-JP"/>
        </w:rPr>
      </w:pPr>
      <w:r>
        <w:rPr>
          <w:lang w:val="en-GB" w:eastAsia="ja-JP"/>
        </w:rPr>
        <w:t>A</w:t>
      </w:r>
      <w:r w:rsidR="00C61E3E">
        <w:rPr>
          <w:lang w:val="en-GB" w:eastAsia="ja-JP"/>
        </w:rPr>
        <w:t xml:space="preserve"> D2R preamble </w:t>
      </w:r>
      <w:r w:rsidRPr="003D5EB4">
        <w:rPr>
          <w:lang w:val="en-GB" w:eastAsia="ja-JP"/>
        </w:rPr>
        <w:t xml:space="preserve">preceding </w:t>
      </w:r>
      <w:r>
        <w:rPr>
          <w:lang w:val="en-GB" w:eastAsia="ja-JP"/>
        </w:rPr>
        <w:t>a</w:t>
      </w:r>
      <w:r w:rsidRPr="003D5EB4">
        <w:rPr>
          <w:lang w:val="en-GB" w:eastAsia="ja-JP"/>
        </w:rPr>
        <w:t xml:space="preserve"> PDRCH transmission</w:t>
      </w:r>
      <w:r w:rsidR="00C61E3E">
        <w:rPr>
          <w:lang w:val="en-GB" w:eastAsia="ja-JP"/>
        </w:rPr>
        <w:t xml:space="preserve"> </w:t>
      </w:r>
      <w:r w:rsidR="009573AF">
        <w:rPr>
          <w:lang w:val="en-GB" w:eastAsia="ja-JP"/>
        </w:rPr>
        <w:t xml:space="preserve">will be received </w:t>
      </w:r>
      <w:r w:rsidR="001E154C">
        <w:rPr>
          <w:lang w:val="en-GB" w:eastAsia="ja-JP"/>
        </w:rPr>
        <w:t>by</w:t>
      </w:r>
      <w:r w:rsidR="009573AF">
        <w:rPr>
          <w:lang w:val="en-GB" w:eastAsia="ja-JP"/>
        </w:rPr>
        <w:t xml:space="preserve"> the reader which </w:t>
      </w:r>
      <w:r w:rsidR="00C04C73">
        <w:rPr>
          <w:lang w:val="en-GB" w:eastAsia="ja-JP"/>
        </w:rPr>
        <w:t>can perform</w:t>
      </w:r>
      <w:r w:rsidR="009573AF">
        <w:rPr>
          <w:lang w:val="en-GB" w:eastAsia="ja-JP"/>
        </w:rPr>
        <w:t xml:space="preserve"> correlation</w:t>
      </w:r>
      <w:r w:rsidR="001E154C">
        <w:rPr>
          <w:lang w:val="en-GB" w:eastAsia="ja-JP"/>
        </w:rPr>
        <w:t>-based sequence detection.</w:t>
      </w:r>
      <w:r w:rsidR="0042365B">
        <w:rPr>
          <w:lang w:val="en-GB" w:eastAsia="ja-JP"/>
        </w:rPr>
        <w:t xml:space="preserve"> </w:t>
      </w:r>
      <w:r w:rsidR="00A57E8A">
        <w:rPr>
          <w:lang w:val="en-GB" w:eastAsia="ja-JP"/>
        </w:rPr>
        <w:t xml:space="preserve">Therefore, unlike </w:t>
      </w:r>
      <w:r w:rsidR="003A6BC4">
        <w:rPr>
          <w:lang w:val="en-GB" w:eastAsia="ja-JP"/>
        </w:rPr>
        <w:t xml:space="preserve">the </w:t>
      </w:r>
      <w:r w:rsidR="00A57E8A">
        <w:rPr>
          <w:lang w:val="en-GB" w:eastAsia="ja-JP"/>
        </w:rPr>
        <w:t xml:space="preserve">R2D preamble, </w:t>
      </w:r>
      <w:r w:rsidR="000907D1">
        <w:rPr>
          <w:lang w:val="en-GB" w:eastAsia="ja-JP"/>
        </w:rPr>
        <w:t xml:space="preserve">it is possible to base the design of a </w:t>
      </w:r>
      <w:r w:rsidR="005B033F">
        <w:rPr>
          <w:lang w:val="en-GB" w:eastAsia="ja-JP"/>
        </w:rPr>
        <w:t xml:space="preserve">D2R </w:t>
      </w:r>
      <w:r w:rsidR="000907D1">
        <w:rPr>
          <w:lang w:val="en-GB" w:eastAsia="ja-JP"/>
        </w:rPr>
        <w:t>preamble on sequences.</w:t>
      </w:r>
      <w:r w:rsidR="001B5982">
        <w:rPr>
          <w:lang w:val="en-GB" w:eastAsia="ja-JP"/>
        </w:rPr>
        <w:t xml:space="preserve"> </w:t>
      </w:r>
      <w:r w:rsidR="00A52473">
        <w:rPr>
          <w:lang w:val="en-GB" w:eastAsia="ja-JP"/>
        </w:rPr>
        <w:t>To select a</w:t>
      </w:r>
      <w:r w:rsidR="003115AA">
        <w:rPr>
          <w:lang w:val="en-GB" w:eastAsia="ja-JP"/>
        </w:rPr>
        <w:t xml:space="preserve">n appropriate sequence, there are several design </w:t>
      </w:r>
      <w:r w:rsidR="00202B38">
        <w:rPr>
          <w:lang w:val="en-GB" w:eastAsia="ja-JP"/>
        </w:rPr>
        <w:t xml:space="preserve">criteria that need to be </w:t>
      </w:r>
      <w:r w:rsidR="00AB0FE0">
        <w:rPr>
          <w:lang w:val="en-GB" w:eastAsia="ja-JP"/>
        </w:rPr>
        <w:t>considered</w:t>
      </w:r>
      <w:r w:rsidR="00F36621">
        <w:rPr>
          <w:lang w:val="en-GB" w:eastAsia="ja-JP"/>
        </w:rPr>
        <w:t xml:space="preserve"> such as the </w:t>
      </w:r>
      <w:r w:rsidR="00D55930">
        <w:rPr>
          <w:lang w:val="en-GB" w:eastAsia="ja-JP"/>
        </w:rPr>
        <w:t>number of sequences in the sequence set,</w:t>
      </w:r>
      <w:r w:rsidR="00E777AD">
        <w:rPr>
          <w:lang w:val="en-GB" w:eastAsia="ja-JP"/>
        </w:rPr>
        <w:t xml:space="preserve"> the </w:t>
      </w:r>
      <w:r w:rsidR="0051644E">
        <w:rPr>
          <w:lang w:val="en-GB" w:eastAsia="ja-JP"/>
        </w:rPr>
        <w:t xml:space="preserve">sequence </w:t>
      </w:r>
      <w:r w:rsidR="00E777AD">
        <w:rPr>
          <w:lang w:val="en-GB" w:eastAsia="ja-JP"/>
        </w:rPr>
        <w:t xml:space="preserve">length, </w:t>
      </w:r>
      <w:r w:rsidR="00FA4212">
        <w:rPr>
          <w:lang w:val="en-GB" w:eastAsia="ja-JP"/>
        </w:rPr>
        <w:t xml:space="preserve">the </w:t>
      </w:r>
      <w:r w:rsidR="008D661A">
        <w:rPr>
          <w:lang w:val="en-GB" w:eastAsia="ja-JP"/>
        </w:rPr>
        <w:t>desired auto</w:t>
      </w:r>
      <w:r w:rsidR="003E7AF4">
        <w:rPr>
          <w:lang w:val="en-GB" w:eastAsia="ja-JP"/>
        </w:rPr>
        <w:t>-</w:t>
      </w:r>
      <w:r w:rsidR="008D661A">
        <w:rPr>
          <w:lang w:val="en-GB" w:eastAsia="ja-JP"/>
        </w:rPr>
        <w:t xml:space="preserve"> and cross</w:t>
      </w:r>
      <w:r w:rsidR="003E7AF4">
        <w:rPr>
          <w:lang w:val="en-GB" w:eastAsia="ja-JP"/>
        </w:rPr>
        <w:t>-</w:t>
      </w:r>
      <w:r w:rsidR="008D661A">
        <w:rPr>
          <w:lang w:val="en-GB" w:eastAsia="ja-JP"/>
        </w:rPr>
        <w:t xml:space="preserve">correlation properties, </w:t>
      </w:r>
      <w:r w:rsidR="00E777AD">
        <w:rPr>
          <w:lang w:val="en-GB" w:eastAsia="ja-JP"/>
        </w:rPr>
        <w:t>etc.</w:t>
      </w:r>
    </w:p>
    <w:p w14:paraId="4A14AFEF" w14:textId="351D357F" w:rsidR="00FF1C56" w:rsidRPr="005A6C41" w:rsidRDefault="00FF1C56" w:rsidP="00886B32">
      <w:pPr>
        <w:pStyle w:val="Proposal"/>
        <w:numPr>
          <w:ilvl w:val="0"/>
          <w:numId w:val="2"/>
        </w:numPr>
        <w:tabs>
          <w:tab w:val="clear" w:pos="1304"/>
        </w:tabs>
        <w:ind w:left="1701" w:hanging="1701"/>
        <w:jc w:val="left"/>
      </w:pPr>
      <w:bookmarkStart w:id="24" w:name="_Toc166257166"/>
      <w:r w:rsidRPr="00FF1C56">
        <w:t>RAN1 to define the design criteria for selecting D2R preamble such as the number of sequences in the sequence set, the sequence length, and the desired auto</w:t>
      </w:r>
      <w:r w:rsidR="003733C6">
        <w:t>-</w:t>
      </w:r>
      <w:r w:rsidRPr="00FF1C56">
        <w:t xml:space="preserve"> and cross</w:t>
      </w:r>
      <w:r w:rsidR="003733C6">
        <w:t>-</w:t>
      </w:r>
      <w:r w:rsidRPr="00FF1C56">
        <w:t>correlation properties.</w:t>
      </w:r>
      <w:bookmarkEnd w:id="24"/>
    </w:p>
    <w:p w14:paraId="606B0375" w14:textId="40DBE938" w:rsidR="003D5EB4" w:rsidRDefault="00E6744E" w:rsidP="003D5EB4">
      <w:pPr>
        <w:jc w:val="both"/>
        <w:rPr>
          <w:lang w:val="en-GB" w:eastAsia="ja-JP"/>
        </w:rPr>
      </w:pPr>
      <w:r>
        <w:rPr>
          <w:lang w:val="en-GB" w:eastAsia="ja-JP"/>
        </w:rPr>
        <w:t xml:space="preserve">Another </w:t>
      </w:r>
      <w:r w:rsidR="005C3C10">
        <w:rPr>
          <w:lang w:val="en-GB" w:eastAsia="ja-JP"/>
        </w:rPr>
        <w:t xml:space="preserve">question is whether the preamble sequence is </w:t>
      </w:r>
      <w:r w:rsidR="003D5EB4">
        <w:rPr>
          <w:lang w:val="en-GB" w:eastAsia="ja-JP"/>
        </w:rPr>
        <w:t>generated</w:t>
      </w:r>
      <w:r w:rsidR="004A1CB0">
        <w:rPr>
          <w:lang w:val="en-GB" w:eastAsia="ja-JP"/>
        </w:rPr>
        <w:t xml:space="preserve"> by</w:t>
      </w:r>
      <w:r w:rsidR="005C3C10">
        <w:rPr>
          <w:lang w:val="en-GB" w:eastAsia="ja-JP"/>
        </w:rPr>
        <w:t xml:space="preserve"> the </w:t>
      </w:r>
      <w:r w:rsidR="003D5EB4">
        <w:rPr>
          <w:lang w:val="en-GB" w:eastAsia="ja-JP"/>
        </w:rPr>
        <w:t>CW</w:t>
      </w:r>
      <w:r w:rsidR="005C3C10">
        <w:rPr>
          <w:lang w:val="en-GB" w:eastAsia="ja-JP"/>
        </w:rPr>
        <w:t xml:space="preserve"> </w:t>
      </w:r>
      <w:r w:rsidR="003D5EB4">
        <w:rPr>
          <w:lang w:val="en-GB" w:eastAsia="ja-JP"/>
        </w:rPr>
        <w:t>node</w:t>
      </w:r>
      <w:r w:rsidR="005C3C10">
        <w:rPr>
          <w:lang w:val="en-GB" w:eastAsia="ja-JP"/>
        </w:rPr>
        <w:t xml:space="preserve"> or </w:t>
      </w:r>
      <w:r w:rsidR="002E2742">
        <w:rPr>
          <w:lang w:val="en-GB" w:eastAsia="ja-JP"/>
        </w:rPr>
        <w:t xml:space="preserve">in </w:t>
      </w:r>
      <w:r w:rsidR="005C3C10">
        <w:rPr>
          <w:lang w:val="en-GB" w:eastAsia="ja-JP"/>
        </w:rPr>
        <w:t xml:space="preserve">the A-IoT device. </w:t>
      </w:r>
      <w:r w:rsidR="00A00D93">
        <w:rPr>
          <w:lang w:val="en-GB" w:eastAsia="ja-JP"/>
        </w:rPr>
        <w:t>For instance, f</w:t>
      </w:r>
      <w:r w:rsidR="004234B7">
        <w:rPr>
          <w:lang w:val="en-GB" w:eastAsia="ja-JP"/>
        </w:rPr>
        <w:t xml:space="preserve">or passive A-IoT devices, </w:t>
      </w:r>
      <w:r w:rsidR="00A13B0C">
        <w:rPr>
          <w:lang w:val="en-GB" w:eastAsia="ja-JP"/>
        </w:rPr>
        <w:t xml:space="preserve">it is possible </w:t>
      </w:r>
      <w:r w:rsidR="00A00D93">
        <w:rPr>
          <w:lang w:val="en-GB" w:eastAsia="ja-JP"/>
        </w:rPr>
        <w:t xml:space="preserve">to </w:t>
      </w:r>
      <w:r w:rsidR="00FB7AFF">
        <w:rPr>
          <w:lang w:val="en-GB" w:eastAsia="ja-JP"/>
        </w:rPr>
        <w:t>send</w:t>
      </w:r>
      <w:r w:rsidR="00A00D93">
        <w:rPr>
          <w:lang w:val="en-GB" w:eastAsia="ja-JP"/>
        </w:rPr>
        <w:t xml:space="preserve"> the preamble sequence in the frequency domain</w:t>
      </w:r>
      <w:r w:rsidR="000725B7">
        <w:rPr>
          <w:lang w:val="en-GB" w:eastAsia="ja-JP"/>
        </w:rPr>
        <w:t xml:space="preserve"> </w:t>
      </w:r>
      <w:r w:rsidR="004530E0">
        <w:rPr>
          <w:lang w:val="en-GB" w:eastAsia="ja-JP"/>
        </w:rPr>
        <w:t>via</w:t>
      </w:r>
      <w:r w:rsidR="000725B7">
        <w:rPr>
          <w:lang w:val="en-GB" w:eastAsia="ja-JP"/>
        </w:rPr>
        <w:t xml:space="preserve"> the subcarrier tones</w:t>
      </w:r>
      <w:r w:rsidR="00A00D93">
        <w:rPr>
          <w:lang w:val="en-GB" w:eastAsia="ja-JP"/>
        </w:rPr>
        <w:t xml:space="preserve">, and the A-IoT device can backscatter the signal. </w:t>
      </w:r>
      <w:r w:rsidR="00966D44">
        <w:rPr>
          <w:lang w:val="en-GB" w:eastAsia="ja-JP"/>
        </w:rPr>
        <w:t xml:space="preserve">If D2R preamble is generated at the </w:t>
      </w:r>
      <w:r w:rsidR="003D5EB4">
        <w:rPr>
          <w:lang w:val="en-GB" w:eastAsia="ja-JP"/>
        </w:rPr>
        <w:t>CW node</w:t>
      </w:r>
      <w:r w:rsidR="00AE43E8">
        <w:rPr>
          <w:lang w:val="en-GB" w:eastAsia="ja-JP"/>
        </w:rPr>
        <w:t>, both complex-valued and real-valued sequences can be considered.</w:t>
      </w:r>
      <w:r w:rsidR="003D5EB4" w:rsidRPr="003D5EB4">
        <w:rPr>
          <w:lang w:val="en-GB" w:eastAsia="ja-JP"/>
        </w:rPr>
        <w:t xml:space="preserve"> </w:t>
      </w:r>
      <w:r w:rsidR="003D5EB4">
        <w:rPr>
          <w:lang w:val="en-GB" w:eastAsia="ja-JP"/>
        </w:rPr>
        <w:t xml:space="preserve">Another possibility is that the A-IoT device generates the D2R preamble, i.e., it is not embedded by the CW node within the carrier wave signal. In this case, a binary sequence can be considered if the D2R preamble is generated at the A-IoT device to reduce device complexity. </w:t>
      </w:r>
    </w:p>
    <w:p w14:paraId="3E7C3FFD" w14:textId="75ED0A4A" w:rsidR="00AE43E8" w:rsidRDefault="002D3416" w:rsidP="00886B32">
      <w:pPr>
        <w:pStyle w:val="Observation"/>
        <w:ind w:left="1701" w:hanging="1701"/>
        <w:jc w:val="left"/>
        <w:rPr>
          <w:lang w:val="en-GB"/>
        </w:rPr>
      </w:pPr>
      <w:bookmarkStart w:id="25" w:name="_Toc166257143"/>
      <w:r>
        <w:rPr>
          <w:lang w:val="en-GB"/>
        </w:rPr>
        <w:t xml:space="preserve">If the </w:t>
      </w:r>
      <w:r w:rsidR="00C0284C">
        <w:rPr>
          <w:lang w:val="en-GB"/>
        </w:rPr>
        <w:t xml:space="preserve">D2R preamble </w:t>
      </w:r>
      <w:r w:rsidR="00C0284C" w:rsidRPr="003D5EB4">
        <w:t>is</w:t>
      </w:r>
      <w:r w:rsidR="00C0284C">
        <w:rPr>
          <w:lang w:val="en-GB"/>
        </w:rPr>
        <w:t xml:space="preserve"> </w:t>
      </w:r>
      <w:r w:rsidR="003D5EB4">
        <w:rPr>
          <w:lang w:val="en-GB"/>
        </w:rPr>
        <w:t>generated by the CW node</w:t>
      </w:r>
      <w:r w:rsidR="00C0284C">
        <w:rPr>
          <w:lang w:val="en-GB"/>
        </w:rPr>
        <w:t xml:space="preserve">, both </w:t>
      </w:r>
      <w:r w:rsidR="00707991">
        <w:rPr>
          <w:lang w:val="en-GB"/>
        </w:rPr>
        <w:t xml:space="preserve">binary </w:t>
      </w:r>
      <w:r w:rsidR="003D5EB4">
        <w:rPr>
          <w:lang w:val="en-GB"/>
        </w:rPr>
        <w:t>and</w:t>
      </w:r>
      <w:r w:rsidR="00707991">
        <w:rPr>
          <w:lang w:val="en-GB"/>
        </w:rPr>
        <w:t xml:space="preserve"> complex sequences can be considered for D2R preamble design.</w:t>
      </w:r>
      <w:bookmarkEnd w:id="25"/>
      <w:r w:rsidR="00AE43E8">
        <w:rPr>
          <w:lang w:val="en-GB"/>
        </w:rPr>
        <w:t xml:space="preserve"> </w:t>
      </w:r>
    </w:p>
    <w:p w14:paraId="7319667D" w14:textId="51D8B7C5" w:rsidR="00307EA7" w:rsidRDefault="00707991" w:rsidP="00886B32">
      <w:pPr>
        <w:pStyle w:val="Observation"/>
        <w:ind w:left="1701" w:hanging="1701"/>
        <w:jc w:val="left"/>
        <w:rPr>
          <w:lang w:val="en-GB"/>
        </w:rPr>
      </w:pPr>
      <w:bookmarkStart w:id="26" w:name="_Toc166257144"/>
      <w:r>
        <w:rPr>
          <w:lang w:val="en-GB"/>
        </w:rPr>
        <w:t>If the D2R preamble is generated by the A-IoT device, binary sequences can be considered for D2R preamble design.</w:t>
      </w:r>
      <w:bookmarkEnd w:id="26"/>
    </w:p>
    <w:p w14:paraId="46DA01D4" w14:textId="22FD59A0" w:rsidR="007343FD" w:rsidRPr="006C1B03" w:rsidRDefault="007343FD" w:rsidP="00886B32">
      <w:pPr>
        <w:pStyle w:val="Proposal"/>
        <w:numPr>
          <w:ilvl w:val="0"/>
          <w:numId w:val="2"/>
        </w:numPr>
        <w:tabs>
          <w:tab w:val="clear" w:pos="1304"/>
        </w:tabs>
        <w:ind w:left="1701" w:hanging="1701"/>
        <w:jc w:val="left"/>
      </w:pPr>
      <w:bookmarkStart w:id="27" w:name="_Toc166257167"/>
      <w:r w:rsidRPr="007343FD">
        <w:t>RAN1 to decide if D2R preamble is generated by the A-IoT device or the reader/CWT.</w:t>
      </w:r>
      <w:bookmarkEnd w:id="27"/>
    </w:p>
    <w:p w14:paraId="2314E027" w14:textId="7037A304" w:rsidR="00D60819" w:rsidRDefault="00DA34FB" w:rsidP="005F0EB8">
      <w:pPr>
        <w:keepNext/>
        <w:keepLines/>
        <w:numPr>
          <w:ilvl w:val="1"/>
          <w:numId w:val="36"/>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Pr>
          <w:rFonts w:eastAsia="Times New Roman" w:cs="Arial"/>
          <w:sz w:val="32"/>
          <w:szCs w:val="32"/>
          <w:lang w:eastAsia="zh-CN"/>
        </w:rPr>
        <w:t>M</w:t>
      </w:r>
      <w:r w:rsidR="005F0EB8" w:rsidRPr="005F0EB8">
        <w:rPr>
          <w:rFonts w:eastAsia="Times New Roman" w:cs="Arial"/>
          <w:sz w:val="32"/>
          <w:szCs w:val="32"/>
          <w:lang w:eastAsia="zh-CN"/>
        </w:rPr>
        <w:t>idamble</w:t>
      </w:r>
    </w:p>
    <w:p w14:paraId="3ADA3818" w14:textId="1324BC43" w:rsidR="00B276A1" w:rsidRPr="009F7872" w:rsidRDefault="009F7872" w:rsidP="00B276A1">
      <w:pPr>
        <w:jc w:val="both"/>
        <w:rPr>
          <w:szCs w:val="20"/>
        </w:rPr>
      </w:pPr>
      <w:r w:rsidRPr="00154DEE">
        <w:rPr>
          <w:szCs w:val="20"/>
        </w:rPr>
        <w:t>Ideally</w:t>
      </w:r>
      <w:r w:rsidR="00BB4C72">
        <w:rPr>
          <w:szCs w:val="20"/>
        </w:rPr>
        <w:t>,</w:t>
      </w:r>
      <w:r w:rsidR="00D60819" w:rsidRPr="00154DEE">
        <w:rPr>
          <w:szCs w:val="20"/>
        </w:rPr>
        <w:t xml:space="preserve"> the </w:t>
      </w:r>
      <w:r w:rsidRPr="00154DEE">
        <w:rPr>
          <w:szCs w:val="20"/>
        </w:rPr>
        <w:t>timing acquisition signal which precedes the</w:t>
      </w:r>
      <w:r w:rsidR="00D60819" w:rsidRPr="00154DEE">
        <w:rPr>
          <w:szCs w:val="20"/>
        </w:rPr>
        <w:t xml:space="preserve"> D2R </w:t>
      </w:r>
      <w:r w:rsidRPr="00154DEE">
        <w:rPr>
          <w:szCs w:val="20"/>
        </w:rPr>
        <w:t>or</w:t>
      </w:r>
      <w:r w:rsidR="00D60819" w:rsidRPr="00154DEE">
        <w:rPr>
          <w:szCs w:val="20"/>
        </w:rPr>
        <w:t xml:space="preserve"> R2D </w:t>
      </w:r>
      <w:r w:rsidRPr="00154DEE">
        <w:rPr>
          <w:szCs w:val="20"/>
        </w:rPr>
        <w:t>transmission is sufficient for the reader or device</w:t>
      </w:r>
      <w:r w:rsidR="00D60819" w:rsidRPr="00154DEE">
        <w:rPr>
          <w:szCs w:val="20"/>
        </w:rPr>
        <w:t xml:space="preserve"> to </w:t>
      </w:r>
      <w:r w:rsidR="00BB4C72">
        <w:rPr>
          <w:szCs w:val="20"/>
        </w:rPr>
        <w:t>acquire</w:t>
      </w:r>
      <w:r w:rsidRPr="00154DEE">
        <w:rPr>
          <w:szCs w:val="20"/>
        </w:rPr>
        <w:t xml:space="preserve"> synchronization and successfully receive the transmission. </w:t>
      </w:r>
      <w:r w:rsidR="00B276A1" w:rsidRPr="00154DEE">
        <w:rPr>
          <w:szCs w:val="20"/>
        </w:rPr>
        <w:t xml:space="preserve">Midambles may </w:t>
      </w:r>
      <w:r w:rsidR="00B276A1">
        <w:rPr>
          <w:szCs w:val="20"/>
        </w:rPr>
        <w:t xml:space="preserve">still </w:t>
      </w:r>
      <w:r w:rsidR="00B276A1" w:rsidRPr="00154DEE">
        <w:rPr>
          <w:szCs w:val="20"/>
        </w:rPr>
        <w:t xml:space="preserve">be needed in </w:t>
      </w:r>
      <w:r w:rsidR="000B3413">
        <w:rPr>
          <w:szCs w:val="20"/>
        </w:rPr>
        <w:t>some</w:t>
      </w:r>
      <w:r w:rsidR="00B276A1" w:rsidRPr="00154DEE">
        <w:rPr>
          <w:szCs w:val="20"/>
        </w:rPr>
        <w:t xml:space="preserve"> cases: 1) if there is a time gap in a R2D or D2R transmission, similar to NR PUSCH repetition type A with L smaller than 14 symbols; 2) timing drift changes the </w:t>
      </w:r>
      <w:r w:rsidR="00B276A1">
        <w:rPr>
          <w:szCs w:val="20"/>
        </w:rPr>
        <w:t xml:space="preserve">symbol </w:t>
      </w:r>
      <w:r w:rsidR="00B276A1" w:rsidRPr="00154DEE">
        <w:rPr>
          <w:szCs w:val="20"/>
        </w:rPr>
        <w:t>duration throughout the D2R transmission</w:t>
      </w:r>
      <w:r w:rsidR="002F3029">
        <w:rPr>
          <w:szCs w:val="20"/>
        </w:rPr>
        <w:t>,</w:t>
      </w:r>
      <w:r w:rsidR="00B276A1">
        <w:rPr>
          <w:szCs w:val="20"/>
        </w:rPr>
        <w:t xml:space="preserve"> and 3) to assist the reader in performing channel estimation</w:t>
      </w:r>
      <w:r w:rsidR="00B276A1" w:rsidRPr="00154DEE">
        <w:rPr>
          <w:szCs w:val="20"/>
        </w:rPr>
        <w:t>.</w:t>
      </w:r>
    </w:p>
    <w:p w14:paraId="151F0263" w14:textId="12B28AD3" w:rsidR="003566B3" w:rsidRDefault="003566B3" w:rsidP="009F7872">
      <w:pPr>
        <w:jc w:val="both"/>
        <w:rPr>
          <w:szCs w:val="20"/>
        </w:rPr>
      </w:pPr>
      <w:r>
        <w:rPr>
          <w:szCs w:val="20"/>
        </w:rPr>
        <w:t xml:space="preserve">For R2D transmission, </w:t>
      </w:r>
      <w:r w:rsidR="006E289C">
        <w:rPr>
          <w:szCs w:val="20"/>
        </w:rPr>
        <w:t xml:space="preserve">the baseline design will not include </w:t>
      </w:r>
      <w:r w:rsidR="00CA0961">
        <w:rPr>
          <w:szCs w:val="20"/>
        </w:rPr>
        <w:t>midambles if Manchester encoding is used.</w:t>
      </w:r>
      <w:r w:rsidR="006E289C">
        <w:rPr>
          <w:szCs w:val="20"/>
        </w:rPr>
        <w:t xml:space="preserve"> </w:t>
      </w:r>
      <w:r w:rsidR="00B276A1">
        <w:rPr>
          <w:szCs w:val="20"/>
        </w:rPr>
        <w:t xml:space="preserve">For D2R transmission, midambles </w:t>
      </w:r>
      <w:r w:rsidR="00790066">
        <w:rPr>
          <w:szCs w:val="20"/>
        </w:rPr>
        <w:t>can</w:t>
      </w:r>
      <w:r w:rsidR="00B276A1">
        <w:rPr>
          <w:szCs w:val="20"/>
        </w:rPr>
        <w:t xml:space="preserve"> be </w:t>
      </w:r>
      <w:r w:rsidR="00790066">
        <w:rPr>
          <w:szCs w:val="20"/>
        </w:rPr>
        <w:t>useful</w:t>
      </w:r>
      <w:r w:rsidR="0060758A">
        <w:rPr>
          <w:szCs w:val="20"/>
        </w:rPr>
        <w:t xml:space="preserve"> for tracking the device</w:t>
      </w:r>
      <w:r w:rsidR="0021048B">
        <w:rPr>
          <w:szCs w:val="20"/>
        </w:rPr>
        <w:t>’</w:t>
      </w:r>
      <w:r w:rsidR="0060758A">
        <w:rPr>
          <w:szCs w:val="20"/>
        </w:rPr>
        <w:t>s timing and for channel estimation.</w:t>
      </w:r>
      <w:r w:rsidR="00BD00F8">
        <w:rPr>
          <w:szCs w:val="20"/>
        </w:rPr>
        <w:t xml:space="preserve"> </w:t>
      </w:r>
    </w:p>
    <w:p w14:paraId="2D3E1336" w14:textId="0A8910C6" w:rsidR="009F7872" w:rsidRPr="009F7872" w:rsidRDefault="00BD00F8" w:rsidP="009F7872">
      <w:pPr>
        <w:pStyle w:val="Proposal"/>
        <w:numPr>
          <w:ilvl w:val="0"/>
          <w:numId w:val="2"/>
        </w:numPr>
        <w:tabs>
          <w:tab w:val="clear" w:pos="1304"/>
        </w:tabs>
        <w:ind w:left="1701" w:hanging="1701"/>
        <w:jc w:val="left"/>
        <w:rPr>
          <w:szCs w:val="20"/>
        </w:rPr>
      </w:pPr>
      <w:bookmarkStart w:id="28" w:name="_Toc166257168"/>
      <w:r>
        <w:rPr>
          <w:szCs w:val="20"/>
        </w:rPr>
        <w:t xml:space="preserve">For </w:t>
      </w:r>
      <w:r w:rsidR="009F7872" w:rsidRPr="00154DEE">
        <w:rPr>
          <w:szCs w:val="20"/>
        </w:rPr>
        <w:t>D2R transmission</w:t>
      </w:r>
      <w:r>
        <w:rPr>
          <w:szCs w:val="20"/>
        </w:rPr>
        <w:t xml:space="preserve">, midambles should </w:t>
      </w:r>
      <w:r w:rsidR="00FC60F0">
        <w:rPr>
          <w:szCs w:val="20"/>
        </w:rPr>
        <w:t xml:space="preserve">not be precluded as they can </w:t>
      </w:r>
      <w:r w:rsidR="00F30154">
        <w:rPr>
          <w:szCs w:val="20"/>
        </w:rPr>
        <w:t xml:space="preserve">help </w:t>
      </w:r>
      <w:r w:rsidR="00FC60F0">
        <w:rPr>
          <w:szCs w:val="20"/>
        </w:rPr>
        <w:t xml:space="preserve">the reader </w:t>
      </w:r>
      <w:r w:rsidR="003D5EB4">
        <w:rPr>
          <w:szCs w:val="20"/>
        </w:rPr>
        <w:t xml:space="preserve">track the device’s timing amid timing drift and </w:t>
      </w:r>
      <w:r w:rsidR="00FC60F0">
        <w:rPr>
          <w:szCs w:val="20"/>
        </w:rPr>
        <w:t>perform channel estimation</w:t>
      </w:r>
      <w:r w:rsidR="009F7872" w:rsidRPr="00154DEE">
        <w:rPr>
          <w:szCs w:val="20"/>
        </w:rPr>
        <w:t>.</w:t>
      </w:r>
      <w:bookmarkEnd w:id="28"/>
    </w:p>
    <w:p w14:paraId="361A1E05" w14:textId="07722292" w:rsidR="008413D0" w:rsidRPr="005F0EB8" w:rsidRDefault="00DA34FB" w:rsidP="005F0EB8">
      <w:pPr>
        <w:keepNext/>
        <w:keepLines/>
        <w:numPr>
          <w:ilvl w:val="1"/>
          <w:numId w:val="36"/>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r>
        <w:rPr>
          <w:rFonts w:eastAsia="Times New Roman" w:cs="Arial"/>
          <w:sz w:val="32"/>
          <w:szCs w:val="32"/>
          <w:lang w:eastAsia="zh-CN"/>
        </w:rPr>
        <w:t>P</w:t>
      </w:r>
      <w:r w:rsidR="005F0EB8" w:rsidRPr="005F0EB8">
        <w:rPr>
          <w:rFonts w:eastAsia="Times New Roman" w:cs="Arial"/>
          <w:sz w:val="32"/>
          <w:szCs w:val="32"/>
          <w:lang w:eastAsia="zh-CN"/>
        </w:rPr>
        <w:t>ostamble</w:t>
      </w:r>
    </w:p>
    <w:p w14:paraId="59D80D88" w14:textId="5DB53178" w:rsidR="008413D0" w:rsidRDefault="00153A3B" w:rsidP="008413D0">
      <w:pPr>
        <w:jc w:val="both"/>
      </w:pPr>
      <w:r>
        <w:t xml:space="preserve">It was proposed that </w:t>
      </w:r>
      <w:r w:rsidR="00D60819">
        <w:t>postamble</w:t>
      </w:r>
      <w:r w:rsidR="008413D0" w:rsidDel="00F537C1">
        <w:t xml:space="preserve"> for </w:t>
      </w:r>
      <w:r w:rsidR="008413D0">
        <w:t xml:space="preserve">R2D and D2R </w:t>
      </w:r>
      <w:r>
        <w:t>can be used</w:t>
      </w:r>
      <w:r w:rsidR="008413D0">
        <w:t xml:space="preserve"> to indicate the end of data transmission. </w:t>
      </w:r>
      <w:r w:rsidR="008413D0" w:rsidRPr="004C37AE">
        <w:t xml:space="preserve">For R2D </w:t>
      </w:r>
      <w:r w:rsidR="002C0BD4">
        <w:t>transmission</w:t>
      </w:r>
      <w:r w:rsidR="008413D0" w:rsidRPr="004C37AE">
        <w:t xml:space="preserve">, </w:t>
      </w:r>
      <w:r w:rsidR="002C0BD4">
        <w:t>the</w:t>
      </w:r>
      <w:r w:rsidR="002C0BD4" w:rsidRPr="004C37AE">
        <w:t xml:space="preserve"> </w:t>
      </w:r>
      <w:r w:rsidR="00F30154">
        <w:t>preamble</w:t>
      </w:r>
      <w:r w:rsidR="008413D0" w:rsidRPr="004C37AE">
        <w:t xml:space="preserve"> signal </w:t>
      </w:r>
      <w:r w:rsidR="002C0BD4">
        <w:t xml:space="preserve">will </w:t>
      </w:r>
      <w:r w:rsidR="008413D0" w:rsidRPr="004C37AE">
        <w:t>indicate the start of R2D data</w:t>
      </w:r>
      <w:r w:rsidR="00D75441">
        <w:t xml:space="preserve"> transmission and</w:t>
      </w:r>
      <w:r w:rsidR="008413D0" w:rsidDel="00D75441">
        <w:t xml:space="preserve"> </w:t>
      </w:r>
      <w:r w:rsidR="008413D0">
        <w:t>control information can indicate the payload size of the subsequent R2D data transmission</w:t>
      </w:r>
      <w:r w:rsidR="00D75441">
        <w:t>. Therefore</w:t>
      </w:r>
      <w:r w:rsidR="008413D0" w:rsidDel="00D75441">
        <w:t>,</w:t>
      </w:r>
      <w:r w:rsidR="008413D0">
        <w:t xml:space="preserve"> the </w:t>
      </w:r>
      <w:r w:rsidR="00D75441">
        <w:t xml:space="preserve">A-IoT </w:t>
      </w:r>
      <w:r w:rsidR="008413D0">
        <w:t>device</w:t>
      </w:r>
      <w:r w:rsidR="00D75441">
        <w:t xml:space="preserve"> will</w:t>
      </w:r>
      <w:r w:rsidR="008413D0">
        <w:t xml:space="preserve"> know whe</w:t>
      </w:r>
      <w:r>
        <w:t>n</w:t>
      </w:r>
      <w:r w:rsidR="008413D0">
        <w:t xml:space="preserve"> the </w:t>
      </w:r>
      <w:r w:rsidR="00D75441">
        <w:t xml:space="preserve">R2D </w:t>
      </w:r>
      <w:r w:rsidR="008413D0">
        <w:t>transmission will end. In this case, there is no need for a postamble to explicitly indicate the end of R2D data</w:t>
      </w:r>
      <w:r w:rsidR="00D75441">
        <w:t xml:space="preserve"> transmission</w:t>
      </w:r>
      <w:r w:rsidR="008413D0">
        <w:t xml:space="preserve">. </w:t>
      </w:r>
      <w:r w:rsidR="008D69B5">
        <w:t>A</w:t>
      </w:r>
      <w:r w:rsidR="008413D0">
        <w:t xml:space="preserve"> similar </w:t>
      </w:r>
      <w:r w:rsidR="008D69B5">
        <w:t xml:space="preserve">reasoning applies </w:t>
      </w:r>
      <w:r w:rsidR="008413D0">
        <w:t xml:space="preserve">to </w:t>
      </w:r>
      <w:r w:rsidR="008D69B5">
        <w:t xml:space="preserve">a </w:t>
      </w:r>
      <w:r w:rsidR="008413D0">
        <w:t>D2R transmission, where readers schedule or configure time resources and payload sizes for D2R transmissions and therefore know when the transmission ends.</w:t>
      </w:r>
    </w:p>
    <w:p w14:paraId="508C0088" w14:textId="07CEA800" w:rsidR="008413D0" w:rsidRDefault="008413D0" w:rsidP="00735392">
      <w:pPr>
        <w:pStyle w:val="Observation"/>
        <w:ind w:left="1701" w:hanging="1701"/>
        <w:jc w:val="left"/>
      </w:pPr>
      <w:bookmarkStart w:id="29" w:name="_Toc166257145"/>
      <w:r>
        <w:t xml:space="preserve">If the </w:t>
      </w:r>
      <w:r w:rsidRPr="00153A3B">
        <w:rPr>
          <w:lang w:val="en-GB"/>
        </w:rPr>
        <w:t>purpose</w:t>
      </w:r>
      <w:r>
        <w:t xml:space="preserve"> of a postamble is to indicate the end of a D2R/R2D transmission, there is no need for an explicit indication</w:t>
      </w:r>
      <w:r w:rsidR="00A20CEA">
        <w:t xml:space="preserve"> through a postamble</w:t>
      </w:r>
      <w:r>
        <w:t>, if the payload size of the subsequent D2R/R2D data transmission is configured/indicated by readers to devices.</w:t>
      </w:r>
      <w:bookmarkEnd w:id="29"/>
      <w:r>
        <w:t xml:space="preserve"> </w:t>
      </w:r>
    </w:p>
    <w:p w14:paraId="25FD515A" w14:textId="32DF66D1" w:rsidR="008413D0" w:rsidRDefault="008413D0" w:rsidP="008413D0">
      <w:pPr>
        <w:jc w:val="both"/>
      </w:pPr>
      <w:r>
        <w:t xml:space="preserve">However, another purpose </w:t>
      </w:r>
      <w:r w:rsidR="008D69B5">
        <w:t>of a</w:t>
      </w:r>
      <w:r>
        <w:t xml:space="preserve"> postamble may be to </w:t>
      </w:r>
      <w:r w:rsidR="00EE7E04">
        <w:t>serve</w:t>
      </w:r>
      <w:r>
        <w:t xml:space="preserve"> as an additional timing acquisition signal. If the timing drift, generated from the time </w:t>
      </w:r>
      <w:r w:rsidR="007D310E">
        <w:t xml:space="preserve">a </w:t>
      </w:r>
      <w:r>
        <w:t xml:space="preserve">device </w:t>
      </w:r>
      <w:r w:rsidR="007D310E">
        <w:t>acquires</w:t>
      </w:r>
      <w:r>
        <w:t xml:space="preserve"> synchronization from the </w:t>
      </w:r>
      <w:r w:rsidR="007D310E">
        <w:t xml:space="preserve">R2D </w:t>
      </w:r>
      <w:r w:rsidR="00EE7E04">
        <w:t>preamble</w:t>
      </w:r>
      <w:r>
        <w:t xml:space="preserve"> to the time of </w:t>
      </w:r>
      <w:r>
        <w:lastRenderedPageBreak/>
        <w:t xml:space="preserve">D2R transmission, causes a reader to </w:t>
      </w:r>
      <w:r w:rsidR="005D1EE8">
        <w:t xml:space="preserve">be </w:t>
      </w:r>
      <w:r>
        <w:t xml:space="preserve">unable to successfully receive the </w:t>
      </w:r>
      <w:r w:rsidR="00B70ECA">
        <w:t>D2</w:t>
      </w:r>
      <w:r>
        <w:t xml:space="preserve">R transmission, a postamble </w:t>
      </w:r>
      <w:r w:rsidR="007D310E">
        <w:t xml:space="preserve">may act </w:t>
      </w:r>
      <w:r>
        <w:t>as</w:t>
      </w:r>
      <w:r w:rsidRPr="007D4E76">
        <w:t xml:space="preserve"> </w:t>
      </w:r>
      <w:r>
        <w:t xml:space="preserve">an additional timing acquisition </w:t>
      </w:r>
      <w:r w:rsidR="007D310E">
        <w:t>signal.</w:t>
      </w:r>
    </w:p>
    <w:p w14:paraId="0226AB69" w14:textId="6A6D4F15" w:rsidR="008413D0" w:rsidRDefault="008413D0" w:rsidP="008413D0">
      <w:pPr>
        <w:pStyle w:val="Proposal"/>
        <w:numPr>
          <w:ilvl w:val="0"/>
          <w:numId w:val="2"/>
        </w:numPr>
        <w:tabs>
          <w:tab w:val="clear" w:pos="1304"/>
        </w:tabs>
        <w:ind w:left="1701" w:hanging="1701"/>
        <w:jc w:val="left"/>
      </w:pPr>
      <w:bookmarkStart w:id="30" w:name="_Toc166257169"/>
      <w:r>
        <w:t xml:space="preserve">RAN1 to study whether </w:t>
      </w:r>
      <w:r w:rsidR="00447131">
        <w:t xml:space="preserve">a </w:t>
      </w:r>
      <w:r w:rsidR="009713A5">
        <w:t xml:space="preserve">PRDCH </w:t>
      </w:r>
      <w:r>
        <w:t xml:space="preserve">postamble can serve as </w:t>
      </w:r>
      <w:r w:rsidR="009713A5">
        <w:t xml:space="preserve">an </w:t>
      </w:r>
      <w:r>
        <w:t>additional</w:t>
      </w:r>
      <w:r w:rsidRPr="00782BF8">
        <w:t xml:space="preserve"> </w:t>
      </w:r>
      <w:r>
        <w:t xml:space="preserve">timing acquisition signal </w:t>
      </w:r>
      <w:r w:rsidR="006E6171">
        <w:t>prior to a</w:t>
      </w:r>
      <w:r w:rsidR="00F918B1">
        <w:t xml:space="preserve"> PDRCH</w:t>
      </w:r>
      <w:r>
        <w:t xml:space="preserve"> </w:t>
      </w:r>
      <w:r w:rsidR="006E6171">
        <w:t>transmission depending on the</w:t>
      </w:r>
      <w:r>
        <w:t xml:space="preserve"> device</w:t>
      </w:r>
      <w:r w:rsidR="00463941">
        <w:t>’s</w:t>
      </w:r>
      <w:r>
        <w:t xml:space="preserve"> timing capability.</w:t>
      </w:r>
      <w:bookmarkEnd w:id="30"/>
    </w:p>
    <w:p w14:paraId="54ABBEF2" w14:textId="77777777" w:rsidR="00D60819" w:rsidRDefault="00D60819" w:rsidP="00D60819">
      <w:pPr>
        <w:keepNext/>
        <w:keepLines/>
        <w:numPr>
          <w:ilvl w:val="1"/>
          <w:numId w:val="36"/>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eastAsia="zh-CN"/>
        </w:rPr>
      </w:pPr>
      <w:bookmarkStart w:id="31" w:name="OLE_LINK23"/>
      <w:r w:rsidRPr="0032191D">
        <w:rPr>
          <w:rFonts w:eastAsia="Times New Roman" w:cs="Arial"/>
          <w:sz w:val="32"/>
          <w:szCs w:val="32"/>
          <w:lang w:eastAsia="zh-CN"/>
        </w:rPr>
        <w:t>Aperiodic only or periodic synchronization signals</w:t>
      </w:r>
    </w:p>
    <w:bookmarkEnd w:id="31"/>
    <w:p w14:paraId="67959EEE" w14:textId="73AAE89F" w:rsidR="00D60819" w:rsidRDefault="00D60819" w:rsidP="00D60819">
      <w:pPr>
        <w:jc w:val="both"/>
        <w:rPr>
          <w:bCs/>
        </w:rPr>
      </w:pPr>
      <w:r w:rsidRPr="00DF7A73">
        <w:rPr>
          <w:lang w:eastAsia="ja-JP"/>
        </w:rPr>
        <w:t>It was agreed that a R2D timing acquisition signal (e.g.</w:t>
      </w:r>
      <w:r>
        <w:rPr>
          <w:lang w:eastAsia="ja-JP"/>
        </w:rPr>
        <w:t>,</w:t>
      </w:r>
      <w:r w:rsidRPr="00DF7A73">
        <w:rPr>
          <w:lang w:eastAsia="ja-JP"/>
        </w:rPr>
        <w:t xml:space="preserve"> R2D preamble) is </w:t>
      </w:r>
      <w:r>
        <w:rPr>
          <w:lang w:eastAsia="ja-JP"/>
        </w:rPr>
        <w:t xml:space="preserve">used </w:t>
      </w:r>
      <w:r w:rsidRPr="00DF7A73">
        <w:rPr>
          <w:lang w:eastAsia="ja-JP"/>
        </w:rPr>
        <w:t xml:space="preserve">at least for timing acquisition and for indicating the start of the R2D transmission in time domain. </w:t>
      </w:r>
      <w:r w:rsidR="002C18B1">
        <w:rPr>
          <w:lang w:eastAsia="ja-JP"/>
        </w:rPr>
        <w:t>This</w:t>
      </w:r>
      <w:r>
        <w:rPr>
          <w:lang w:eastAsia="ja-JP"/>
        </w:rPr>
        <w:t xml:space="preserve"> implies that R2D </w:t>
      </w:r>
      <w:r w:rsidRPr="004A7DB8">
        <w:rPr>
          <w:lang w:eastAsia="ja-JP"/>
        </w:rPr>
        <w:t>timing acquisition signal</w:t>
      </w:r>
      <w:r>
        <w:rPr>
          <w:lang w:eastAsia="ja-JP"/>
        </w:rPr>
        <w:t xml:space="preserve"> precedes an </w:t>
      </w:r>
      <w:r w:rsidR="003A2B07">
        <w:rPr>
          <w:lang w:eastAsia="ja-JP"/>
        </w:rPr>
        <w:t>P</w:t>
      </w:r>
      <w:r>
        <w:rPr>
          <w:lang w:eastAsia="ja-JP"/>
        </w:rPr>
        <w:t>RD</w:t>
      </w:r>
      <w:r w:rsidR="003A2B07">
        <w:rPr>
          <w:lang w:eastAsia="ja-JP"/>
        </w:rPr>
        <w:t>CH</w:t>
      </w:r>
      <w:r>
        <w:rPr>
          <w:lang w:eastAsia="ja-JP"/>
        </w:rPr>
        <w:t>. In this case, it can be</w:t>
      </w:r>
      <w:r w:rsidDel="00EB1CA6">
        <w:rPr>
          <w:lang w:eastAsia="ja-JP"/>
        </w:rPr>
        <w:t xml:space="preserve"> </w:t>
      </w:r>
      <w:r w:rsidR="00EB1CA6">
        <w:rPr>
          <w:lang w:eastAsia="ja-JP"/>
        </w:rPr>
        <w:t xml:space="preserve">viewed </w:t>
      </w:r>
      <w:r>
        <w:rPr>
          <w:lang w:eastAsia="ja-JP"/>
        </w:rPr>
        <w:t xml:space="preserve">as </w:t>
      </w:r>
      <w:r w:rsidRPr="00DF7A73">
        <w:rPr>
          <w:lang w:eastAsia="ja-JP"/>
        </w:rPr>
        <w:t>an ape</w:t>
      </w:r>
      <w:r>
        <w:rPr>
          <w:lang w:eastAsia="ja-JP"/>
        </w:rPr>
        <w:t>r</w:t>
      </w:r>
      <w:r w:rsidRPr="00DF7A73">
        <w:rPr>
          <w:lang w:eastAsia="ja-JP"/>
        </w:rPr>
        <w:t xml:space="preserve">iodic </w:t>
      </w:r>
      <w:r>
        <w:rPr>
          <w:lang w:eastAsia="ja-JP"/>
        </w:rPr>
        <w:t xml:space="preserve">synchronization signal. However, </w:t>
      </w:r>
      <w:r>
        <w:rPr>
          <w:bCs/>
        </w:rPr>
        <w:t>if the</w:t>
      </w:r>
      <w:r w:rsidRPr="00E23A6E">
        <w:rPr>
          <w:bCs/>
        </w:rPr>
        <w:t xml:space="preserve"> </w:t>
      </w:r>
      <w:r>
        <w:rPr>
          <w:bCs/>
        </w:rPr>
        <w:t>t</w:t>
      </w:r>
      <w:r w:rsidRPr="00E23A6E">
        <w:rPr>
          <w:bCs/>
        </w:rPr>
        <w:t xml:space="preserve">ime </w:t>
      </w:r>
      <w:r>
        <w:rPr>
          <w:bCs/>
        </w:rPr>
        <w:t xml:space="preserve">interval </w:t>
      </w:r>
      <w:r w:rsidRPr="00E23A6E">
        <w:rPr>
          <w:bCs/>
        </w:rPr>
        <w:t>between a</w:t>
      </w:r>
      <w:r>
        <w:rPr>
          <w:bCs/>
        </w:rPr>
        <w:t>n</w:t>
      </w:r>
      <w:r w:rsidRPr="00E23A6E">
        <w:rPr>
          <w:bCs/>
        </w:rPr>
        <w:t xml:space="preserve"> R2D transmission and the corresponding </w:t>
      </w:r>
      <w:r w:rsidR="00F6392F" w:rsidRPr="00E23A6E">
        <w:rPr>
          <w:bCs/>
        </w:rPr>
        <w:t xml:space="preserve">following </w:t>
      </w:r>
      <w:r w:rsidRPr="00E23A6E">
        <w:rPr>
          <w:rFonts w:hint="eastAsia"/>
          <w:bCs/>
        </w:rPr>
        <w:t>D</w:t>
      </w:r>
      <w:r w:rsidRPr="00E23A6E">
        <w:rPr>
          <w:bCs/>
        </w:rPr>
        <w:t>2</w:t>
      </w:r>
      <w:r w:rsidRPr="00E23A6E">
        <w:rPr>
          <w:rFonts w:hint="eastAsia"/>
          <w:bCs/>
        </w:rPr>
        <w:t>R</w:t>
      </w:r>
      <w:r w:rsidRPr="00E23A6E">
        <w:rPr>
          <w:bCs/>
        </w:rPr>
        <w:t xml:space="preserve"> transmission it</w:t>
      </w:r>
      <w:r>
        <w:rPr>
          <w:bCs/>
        </w:rPr>
        <w:t xml:space="preserve"> is too long, devices may lose the timing obtained from </w:t>
      </w:r>
      <w:r w:rsidRPr="004A7DB8">
        <w:rPr>
          <w:lang w:eastAsia="ja-JP"/>
        </w:rPr>
        <w:t>R2D timing acquisition signal</w:t>
      </w:r>
      <w:r>
        <w:rPr>
          <w:lang w:eastAsia="ja-JP"/>
        </w:rPr>
        <w:t xml:space="preserve"> </w:t>
      </w:r>
      <w:r>
        <w:rPr>
          <w:bCs/>
        </w:rPr>
        <w:t xml:space="preserve">due to timing drift at the time for D2R transmission. In this sense, either </w:t>
      </w:r>
      <w:r w:rsidR="009A00DB">
        <w:rPr>
          <w:bCs/>
        </w:rPr>
        <w:t xml:space="preserve">a </w:t>
      </w:r>
      <w:r>
        <w:rPr>
          <w:bCs/>
        </w:rPr>
        <w:t xml:space="preserve">periodic synchronization signal or another </w:t>
      </w:r>
      <w:r>
        <w:t>aperiodic</w:t>
      </w:r>
      <w:r>
        <w:rPr>
          <w:bCs/>
        </w:rPr>
        <w:t xml:space="preserve"> </w:t>
      </w:r>
      <w:r w:rsidRPr="004A7DB8">
        <w:rPr>
          <w:lang w:eastAsia="ja-JP"/>
        </w:rPr>
        <w:t>timing acquisition</w:t>
      </w:r>
      <w:r>
        <w:rPr>
          <w:lang w:eastAsia="ja-JP"/>
        </w:rPr>
        <w:t xml:space="preserve"> before the D2R transmission is needed.</w:t>
      </w:r>
    </w:p>
    <w:p w14:paraId="71FF0AF7" w14:textId="1565643F" w:rsidR="00D60819" w:rsidRPr="00010EE6" w:rsidRDefault="00D60819" w:rsidP="00886B32">
      <w:pPr>
        <w:pStyle w:val="Observation"/>
        <w:ind w:left="1701" w:hanging="1701"/>
        <w:jc w:val="left"/>
      </w:pPr>
      <w:bookmarkStart w:id="32" w:name="_Toc166257146"/>
      <w:r>
        <w:rPr>
          <w:bCs w:val="0"/>
        </w:rPr>
        <w:t xml:space="preserve">If </w:t>
      </w:r>
      <w:r>
        <w:t>the</w:t>
      </w:r>
      <w:r w:rsidRPr="00E23A6E">
        <w:t xml:space="preserve"> </w:t>
      </w:r>
      <w:r>
        <w:rPr>
          <w:bCs w:val="0"/>
        </w:rPr>
        <w:t>t</w:t>
      </w:r>
      <w:r w:rsidRPr="00E23A6E">
        <w:t xml:space="preserve">ime </w:t>
      </w:r>
      <w:r>
        <w:rPr>
          <w:bCs w:val="0"/>
        </w:rPr>
        <w:t xml:space="preserve">interval </w:t>
      </w:r>
      <w:r w:rsidRPr="00E23A6E">
        <w:t>between a</w:t>
      </w:r>
      <w:r>
        <w:t>n</w:t>
      </w:r>
      <w:r w:rsidRPr="00E23A6E">
        <w:t xml:space="preserve"> R2D transmission and the corresponding </w:t>
      </w:r>
      <w:r w:rsidRPr="00E23A6E">
        <w:rPr>
          <w:rFonts w:hint="eastAsia"/>
        </w:rPr>
        <w:t>D</w:t>
      </w:r>
      <w:r w:rsidRPr="00E23A6E">
        <w:t>2</w:t>
      </w:r>
      <w:r w:rsidRPr="00E23A6E">
        <w:rPr>
          <w:rFonts w:hint="eastAsia"/>
        </w:rPr>
        <w:t>R</w:t>
      </w:r>
      <w:r w:rsidRPr="00E23A6E">
        <w:t xml:space="preserve"> transmission following it</w:t>
      </w:r>
      <w:r>
        <w:rPr>
          <w:bCs w:val="0"/>
        </w:rPr>
        <w:t xml:space="preserve"> is too long,</w:t>
      </w:r>
      <w:r w:rsidRPr="00010EE6">
        <w:rPr>
          <w:bCs w:val="0"/>
        </w:rPr>
        <w:t xml:space="preserve"> </w:t>
      </w:r>
      <w:r>
        <w:rPr>
          <w:bCs w:val="0"/>
        </w:rPr>
        <w:t xml:space="preserve">devices may lose the timing obtained from </w:t>
      </w:r>
      <w:r w:rsidR="000D2C7C">
        <w:rPr>
          <w:bCs w:val="0"/>
        </w:rPr>
        <w:t xml:space="preserve">the </w:t>
      </w:r>
      <w:r w:rsidRPr="004A7DB8">
        <w:t>R2D timing acquisition signal</w:t>
      </w:r>
      <w:r>
        <w:t xml:space="preserve"> </w:t>
      </w:r>
      <w:r>
        <w:rPr>
          <w:bCs w:val="0"/>
        </w:rPr>
        <w:t>due to timing drift at the time for the D2R transmission.</w:t>
      </w:r>
      <w:bookmarkEnd w:id="32"/>
    </w:p>
    <w:p w14:paraId="6054A542" w14:textId="77777777" w:rsidR="00D60819" w:rsidRPr="00825119" w:rsidRDefault="00D60819" w:rsidP="00D60819">
      <w:pPr>
        <w:pStyle w:val="Proposal"/>
        <w:numPr>
          <w:ilvl w:val="0"/>
          <w:numId w:val="2"/>
        </w:numPr>
        <w:tabs>
          <w:tab w:val="clear" w:pos="1304"/>
        </w:tabs>
        <w:ind w:left="1701" w:hanging="1701"/>
        <w:jc w:val="left"/>
      </w:pPr>
      <w:bookmarkStart w:id="33" w:name="_Toc163244030"/>
      <w:bookmarkStart w:id="34" w:name="_Toc163253891"/>
      <w:bookmarkStart w:id="35" w:name="_Toc163244031"/>
      <w:bookmarkStart w:id="36" w:name="_Toc163253892"/>
      <w:bookmarkStart w:id="37" w:name="_Toc163244032"/>
      <w:bookmarkStart w:id="38" w:name="_Toc163253893"/>
      <w:bookmarkStart w:id="39" w:name="_Toc166257170"/>
      <w:bookmarkEnd w:id="33"/>
      <w:bookmarkEnd w:id="34"/>
      <w:bookmarkEnd w:id="35"/>
      <w:bookmarkEnd w:id="36"/>
      <w:bookmarkEnd w:id="37"/>
      <w:bookmarkEnd w:id="38"/>
      <w:r w:rsidRPr="5D248EE6">
        <w:t xml:space="preserve">Study periodic and </w:t>
      </w:r>
      <w:bookmarkStart w:id="40" w:name="OLE_LINK18"/>
      <w:r w:rsidRPr="5D248EE6">
        <w:t xml:space="preserve">aperiodic synchronization signals </w:t>
      </w:r>
      <w:bookmarkEnd w:id="40"/>
      <w:r w:rsidRPr="5D248EE6">
        <w:t>for A-IoT device</w:t>
      </w:r>
      <w:r>
        <w:t>s</w:t>
      </w:r>
      <w:r w:rsidRPr="5D248EE6">
        <w:rPr>
          <w:rFonts w:eastAsiaTheme="minorEastAsia"/>
        </w:rPr>
        <w:t>.</w:t>
      </w:r>
      <w:bookmarkEnd w:id="39"/>
    </w:p>
    <w:p w14:paraId="57B6A932" w14:textId="1E1A6364" w:rsidR="00D71E99" w:rsidRDefault="001E7C1B">
      <w:pPr>
        <w:pStyle w:val="Heading1"/>
        <w:numPr>
          <w:ilvl w:val="0"/>
          <w:numId w:val="16"/>
        </w:numPr>
        <w:jc w:val="both"/>
      </w:pPr>
      <w:r>
        <w:t xml:space="preserve">R2D </w:t>
      </w:r>
      <w:r w:rsidR="00C766BE">
        <w:t>control information</w:t>
      </w:r>
      <w:r w:rsidR="006A13A0">
        <w:t xml:space="preserve"> and</w:t>
      </w:r>
      <w:r w:rsidR="00C766BE" w:rsidRPr="00474377">
        <w:t xml:space="preserve"> PRDCH</w:t>
      </w:r>
    </w:p>
    <w:p w14:paraId="3BA8F1CA" w14:textId="77777777" w:rsidR="00A43333" w:rsidRPr="00A43333" w:rsidRDefault="00A43333" w:rsidP="001359B1">
      <w:pPr>
        <w:jc w:val="both"/>
        <w:rPr>
          <w:lang w:eastAsia="ja-JP"/>
        </w:rPr>
      </w:pPr>
      <w:r>
        <w:rPr>
          <w:lang w:eastAsia="ja-JP"/>
        </w:rPr>
        <w:t>In the previous RAN1 meeting, the following proposal was discussed. In this section, we provide our views on topics related to this proposal.</w:t>
      </w:r>
    </w:p>
    <w:tbl>
      <w:tblPr>
        <w:tblStyle w:val="TableGrid"/>
        <w:tblW w:w="0" w:type="auto"/>
        <w:tblLook w:val="04A0" w:firstRow="1" w:lastRow="0" w:firstColumn="1" w:lastColumn="0" w:noHBand="0" w:noVBand="1"/>
      </w:tblPr>
      <w:tblGrid>
        <w:gridCol w:w="9629"/>
      </w:tblGrid>
      <w:tr w:rsidR="00A43333" w14:paraId="63A2D657" w14:textId="77777777">
        <w:tc>
          <w:tcPr>
            <w:tcW w:w="9629" w:type="dxa"/>
          </w:tcPr>
          <w:p w14:paraId="0BE7189D" w14:textId="23C0EC76" w:rsidR="00A43333" w:rsidRPr="0002368E" w:rsidRDefault="00A43333">
            <w:pPr>
              <w:rPr>
                <w:rFonts w:ascii="Times New Roman" w:hAnsi="Times New Roman" w:cs="Times New Roman"/>
                <w:b/>
                <w:sz w:val="20"/>
                <w:szCs w:val="20"/>
              </w:rPr>
            </w:pPr>
            <w:bookmarkStart w:id="41" w:name="OLE_LINK14"/>
            <w:r w:rsidRPr="0002368E">
              <w:rPr>
                <w:rFonts w:ascii="Times New Roman" w:hAnsi="Times New Roman" w:cs="Times New Roman"/>
                <w:b/>
                <w:sz w:val="20"/>
                <w:szCs w:val="20"/>
              </w:rPr>
              <w:t>RAN1#116bis</w:t>
            </w:r>
            <w:r w:rsidR="007F3B8F" w:rsidRPr="0002368E">
              <w:rPr>
                <w:rFonts w:ascii="Times New Roman" w:hAnsi="Times New Roman" w:cs="Times New Roman"/>
                <w:b/>
                <w:bCs/>
                <w:sz w:val="20"/>
                <w:szCs w:val="20"/>
              </w:rPr>
              <w:t>:</w:t>
            </w:r>
          </w:p>
          <w:p w14:paraId="3BA7F98E" w14:textId="77777777" w:rsidR="00A43333" w:rsidRPr="0002368E" w:rsidRDefault="00A43333" w:rsidP="00C31F25">
            <w:pPr>
              <w:spacing w:after="0"/>
              <w:rPr>
                <w:rFonts w:ascii="Times New Roman" w:eastAsia="SimSun" w:hAnsi="Times New Roman" w:cs="Times New Roman"/>
                <w:b/>
                <w:i/>
                <w:sz w:val="20"/>
                <w:szCs w:val="20"/>
              </w:rPr>
            </w:pPr>
            <w:r w:rsidRPr="0002368E">
              <w:rPr>
                <w:rFonts w:ascii="Times New Roman" w:hAnsi="Times New Roman" w:cs="Times New Roman"/>
                <w:b/>
                <w:i/>
                <w:sz w:val="20"/>
                <w:szCs w:val="20"/>
              </w:rPr>
              <w:t>Proposal 2.1.2-1B</w:t>
            </w:r>
          </w:p>
          <w:p w14:paraId="361D911B" w14:textId="77777777" w:rsidR="00A43333" w:rsidRPr="0002368E" w:rsidRDefault="00A43333">
            <w:pPr>
              <w:pStyle w:val="ListParagraph"/>
              <w:numPr>
                <w:ilvl w:val="0"/>
                <w:numId w:val="30"/>
              </w:numPr>
              <w:autoSpaceDE w:val="0"/>
              <w:autoSpaceDN w:val="0"/>
              <w:adjustRightInd w:val="0"/>
              <w:snapToGrid w:val="0"/>
              <w:spacing w:after="120" w:line="240" w:lineRule="auto"/>
              <w:contextualSpacing/>
              <w:jc w:val="both"/>
              <w:rPr>
                <w:rFonts w:ascii="Times New Roman" w:hAnsi="Times New Roman" w:cs="Times New Roman"/>
                <w:sz w:val="20"/>
                <w:szCs w:val="20"/>
              </w:rPr>
            </w:pPr>
            <w:r w:rsidRPr="0002368E">
              <w:rPr>
                <w:rFonts w:ascii="Times New Roman" w:hAnsi="Times New Roman" w:cs="Times New Roman"/>
                <w:sz w:val="20"/>
                <w:szCs w:val="20"/>
              </w:rPr>
              <w:t>For R2D control information, at least the following R2D control information (for PRDCH and/or PDRCH) are studied:</w:t>
            </w:r>
          </w:p>
          <w:p w14:paraId="27548E74" w14:textId="77777777" w:rsidR="00A43333" w:rsidRPr="0002368E" w:rsidRDefault="00A43333">
            <w:pPr>
              <w:pStyle w:val="ListParagraph"/>
              <w:numPr>
                <w:ilvl w:val="0"/>
                <w:numId w:val="31"/>
              </w:numPr>
              <w:autoSpaceDE w:val="0"/>
              <w:autoSpaceDN w:val="0"/>
              <w:adjustRightInd w:val="0"/>
              <w:snapToGrid w:val="0"/>
              <w:spacing w:after="120" w:line="240" w:lineRule="auto"/>
              <w:ind w:left="720"/>
              <w:contextualSpacing/>
              <w:jc w:val="both"/>
              <w:rPr>
                <w:rFonts w:ascii="Times New Roman" w:hAnsi="Times New Roman" w:cs="Times New Roman"/>
                <w:sz w:val="20"/>
                <w:szCs w:val="20"/>
              </w:rPr>
            </w:pPr>
            <w:r w:rsidRPr="0002368E">
              <w:rPr>
                <w:rFonts w:ascii="Times New Roman" w:hAnsi="Times New Roman" w:cs="Times New Roman"/>
                <w:sz w:val="20"/>
                <w:szCs w:val="20"/>
              </w:rPr>
              <w:t>Time domain resource allocation</w:t>
            </w:r>
          </w:p>
          <w:p w14:paraId="71E9C337" w14:textId="77777777" w:rsidR="00A43333" w:rsidRPr="0002368E" w:rsidRDefault="00A43333">
            <w:pPr>
              <w:pStyle w:val="ListParagraph"/>
              <w:numPr>
                <w:ilvl w:val="0"/>
                <w:numId w:val="31"/>
              </w:numPr>
              <w:autoSpaceDE w:val="0"/>
              <w:autoSpaceDN w:val="0"/>
              <w:adjustRightInd w:val="0"/>
              <w:snapToGrid w:val="0"/>
              <w:spacing w:after="120" w:line="240" w:lineRule="auto"/>
              <w:ind w:left="720"/>
              <w:contextualSpacing/>
              <w:jc w:val="both"/>
              <w:rPr>
                <w:rFonts w:ascii="Times New Roman" w:hAnsi="Times New Roman" w:cs="Times New Roman"/>
                <w:sz w:val="20"/>
                <w:szCs w:val="20"/>
              </w:rPr>
            </w:pPr>
            <w:r w:rsidRPr="0002368E">
              <w:rPr>
                <w:rFonts w:ascii="Times New Roman" w:hAnsi="Times New Roman" w:cs="Times New Roman"/>
                <w:sz w:val="20"/>
                <w:szCs w:val="20"/>
              </w:rPr>
              <w:t>MCS/code rate</w:t>
            </w:r>
          </w:p>
          <w:p w14:paraId="2FF31555" w14:textId="77777777" w:rsidR="00A43333" w:rsidRPr="0002368E" w:rsidRDefault="00A43333">
            <w:pPr>
              <w:pStyle w:val="ListParagraph"/>
              <w:numPr>
                <w:ilvl w:val="0"/>
                <w:numId w:val="31"/>
              </w:numPr>
              <w:autoSpaceDE w:val="0"/>
              <w:autoSpaceDN w:val="0"/>
              <w:adjustRightInd w:val="0"/>
              <w:snapToGrid w:val="0"/>
              <w:spacing w:after="120" w:line="240" w:lineRule="auto"/>
              <w:ind w:left="720"/>
              <w:contextualSpacing/>
              <w:jc w:val="both"/>
              <w:rPr>
                <w:rFonts w:ascii="Times New Roman" w:hAnsi="Times New Roman" w:cs="Times New Roman"/>
                <w:sz w:val="20"/>
                <w:szCs w:val="20"/>
              </w:rPr>
            </w:pPr>
            <w:r w:rsidRPr="0002368E">
              <w:rPr>
                <w:rFonts w:ascii="Times New Roman" w:hAnsi="Times New Roman" w:cs="Times New Roman"/>
                <w:sz w:val="20"/>
                <w:szCs w:val="20"/>
              </w:rPr>
              <w:t>TBS</w:t>
            </w:r>
          </w:p>
          <w:p w14:paraId="1B863D91" w14:textId="77777777" w:rsidR="00A43333" w:rsidRPr="0002368E" w:rsidRDefault="00A43333">
            <w:pPr>
              <w:pStyle w:val="ListParagraph"/>
              <w:numPr>
                <w:ilvl w:val="0"/>
                <w:numId w:val="31"/>
              </w:numPr>
              <w:autoSpaceDE w:val="0"/>
              <w:autoSpaceDN w:val="0"/>
              <w:adjustRightInd w:val="0"/>
              <w:snapToGrid w:val="0"/>
              <w:spacing w:after="120" w:line="240" w:lineRule="auto"/>
              <w:ind w:left="720"/>
              <w:contextualSpacing/>
              <w:jc w:val="both"/>
              <w:rPr>
                <w:rFonts w:ascii="Times New Roman" w:hAnsi="Times New Roman" w:cs="Times New Roman"/>
                <w:sz w:val="20"/>
                <w:szCs w:val="20"/>
              </w:rPr>
            </w:pPr>
            <w:r w:rsidRPr="0002368E">
              <w:rPr>
                <w:rFonts w:ascii="Times New Roman" w:hAnsi="Times New Roman" w:cs="Times New Roman"/>
                <w:sz w:val="20"/>
                <w:szCs w:val="20"/>
              </w:rPr>
              <w:t>Repetitions</w:t>
            </w:r>
          </w:p>
          <w:p w14:paraId="07F4956F" w14:textId="77777777" w:rsidR="00A43333" w:rsidRPr="0002368E" w:rsidRDefault="00A43333">
            <w:pPr>
              <w:pStyle w:val="ListParagraph"/>
              <w:numPr>
                <w:ilvl w:val="0"/>
                <w:numId w:val="31"/>
              </w:numPr>
              <w:autoSpaceDE w:val="0"/>
              <w:autoSpaceDN w:val="0"/>
              <w:adjustRightInd w:val="0"/>
              <w:snapToGrid w:val="0"/>
              <w:spacing w:after="120" w:line="240" w:lineRule="auto"/>
              <w:ind w:left="720"/>
              <w:contextualSpacing/>
              <w:jc w:val="both"/>
              <w:rPr>
                <w:rFonts w:ascii="Times New Roman" w:hAnsi="Times New Roman" w:cs="Times New Roman"/>
                <w:sz w:val="20"/>
                <w:szCs w:val="20"/>
              </w:rPr>
            </w:pPr>
            <w:r w:rsidRPr="0002368E">
              <w:rPr>
                <w:rFonts w:ascii="Times New Roman" w:hAnsi="Times New Roman" w:cs="Times New Roman"/>
                <w:sz w:val="20"/>
                <w:szCs w:val="20"/>
              </w:rPr>
              <w:t>Device ID and/or device group ID and/or device type</w:t>
            </w:r>
          </w:p>
          <w:p w14:paraId="4D1567D0" w14:textId="77777777" w:rsidR="00A43333" w:rsidRPr="0002368E" w:rsidRDefault="00A43333">
            <w:pPr>
              <w:pStyle w:val="ListParagraph"/>
              <w:numPr>
                <w:ilvl w:val="0"/>
                <w:numId w:val="31"/>
              </w:numPr>
              <w:autoSpaceDE w:val="0"/>
              <w:autoSpaceDN w:val="0"/>
              <w:adjustRightInd w:val="0"/>
              <w:snapToGrid w:val="0"/>
              <w:spacing w:after="120" w:line="240" w:lineRule="auto"/>
              <w:ind w:left="720"/>
              <w:contextualSpacing/>
              <w:jc w:val="both"/>
              <w:rPr>
                <w:rFonts w:ascii="Times New Roman" w:hAnsi="Times New Roman" w:cs="Times New Roman"/>
                <w:sz w:val="20"/>
                <w:szCs w:val="20"/>
              </w:rPr>
            </w:pPr>
            <w:r w:rsidRPr="0002368E">
              <w:rPr>
                <w:rFonts w:ascii="Times New Roman" w:hAnsi="Times New Roman" w:cs="Times New Roman"/>
                <w:sz w:val="20"/>
                <w:szCs w:val="20"/>
              </w:rPr>
              <w:t xml:space="preserve">Cast type </w:t>
            </w:r>
          </w:p>
          <w:p w14:paraId="493C8202" w14:textId="77777777" w:rsidR="00A43333" w:rsidRPr="0002368E" w:rsidRDefault="00A43333">
            <w:pPr>
              <w:pStyle w:val="ListParagraph"/>
              <w:numPr>
                <w:ilvl w:val="0"/>
                <w:numId w:val="31"/>
              </w:numPr>
              <w:autoSpaceDE w:val="0"/>
              <w:autoSpaceDN w:val="0"/>
              <w:adjustRightInd w:val="0"/>
              <w:snapToGrid w:val="0"/>
              <w:spacing w:after="120" w:line="240" w:lineRule="auto"/>
              <w:ind w:left="720"/>
              <w:contextualSpacing/>
              <w:jc w:val="both"/>
              <w:rPr>
                <w:rFonts w:ascii="Times New Roman" w:hAnsi="Times New Roman" w:cs="Times New Roman"/>
                <w:sz w:val="20"/>
                <w:szCs w:val="20"/>
              </w:rPr>
            </w:pPr>
            <w:r w:rsidRPr="0002368E">
              <w:rPr>
                <w:rFonts w:ascii="Times New Roman" w:hAnsi="Times New Roman" w:cs="Times New Roman"/>
                <w:sz w:val="20"/>
                <w:szCs w:val="20"/>
              </w:rPr>
              <w:t>Frequency domain resource allocation</w:t>
            </w:r>
          </w:p>
          <w:p w14:paraId="315472B3" w14:textId="77777777" w:rsidR="00A43333" w:rsidRPr="0002368E" w:rsidRDefault="00A43333">
            <w:pPr>
              <w:pStyle w:val="ListParagraph"/>
              <w:numPr>
                <w:ilvl w:val="0"/>
                <w:numId w:val="31"/>
              </w:numPr>
              <w:autoSpaceDE w:val="0"/>
              <w:autoSpaceDN w:val="0"/>
              <w:adjustRightInd w:val="0"/>
              <w:snapToGrid w:val="0"/>
              <w:spacing w:after="120" w:line="240" w:lineRule="auto"/>
              <w:ind w:left="720"/>
              <w:contextualSpacing/>
              <w:jc w:val="both"/>
              <w:rPr>
                <w:rFonts w:ascii="Times New Roman" w:hAnsi="Times New Roman" w:cs="Times New Roman"/>
                <w:sz w:val="20"/>
                <w:szCs w:val="20"/>
              </w:rPr>
            </w:pPr>
            <w:r w:rsidRPr="0002368E">
              <w:rPr>
                <w:rFonts w:ascii="Times New Roman" w:hAnsi="Times New Roman" w:cs="Times New Roman"/>
                <w:sz w:val="20"/>
                <w:szCs w:val="20"/>
              </w:rPr>
              <w:t>Reader ID</w:t>
            </w:r>
          </w:p>
          <w:p w14:paraId="0FC10D0E" w14:textId="77777777" w:rsidR="00A43333" w:rsidRPr="0002368E" w:rsidRDefault="00A43333" w:rsidP="0014144A">
            <w:pPr>
              <w:pStyle w:val="ListParagraph"/>
              <w:numPr>
                <w:ilvl w:val="0"/>
                <w:numId w:val="30"/>
              </w:numPr>
              <w:autoSpaceDE w:val="0"/>
              <w:autoSpaceDN w:val="0"/>
              <w:adjustRightInd w:val="0"/>
              <w:snapToGrid w:val="0"/>
              <w:spacing w:after="120" w:line="240" w:lineRule="auto"/>
              <w:contextualSpacing/>
              <w:jc w:val="both"/>
              <w:rPr>
                <w:rFonts w:ascii="Times New Roman" w:hAnsi="Times New Roman" w:cs="Times New Roman"/>
                <w:sz w:val="20"/>
                <w:szCs w:val="20"/>
              </w:rPr>
            </w:pPr>
            <w:r w:rsidRPr="0002368E">
              <w:rPr>
                <w:rFonts w:ascii="Times New Roman" w:hAnsi="Times New Roman" w:cs="Times New Roman"/>
                <w:sz w:val="20"/>
                <w:szCs w:val="20"/>
              </w:rPr>
              <w:t>For the study of each of the above R2D control information, at least following aspects are considered:</w:t>
            </w:r>
          </w:p>
          <w:p w14:paraId="7C1E8542" w14:textId="77777777" w:rsidR="00A43333" w:rsidRPr="0002368E" w:rsidRDefault="00A43333">
            <w:pPr>
              <w:pStyle w:val="ListParagraph"/>
              <w:numPr>
                <w:ilvl w:val="1"/>
                <w:numId w:val="32"/>
              </w:numPr>
              <w:autoSpaceDE w:val="0"/>
              <w:autoSpaceDN w:val="0"/>
              <w:adjustRightInd w:val="0"/>
              <w:snapToGrid w:val="0"/>
              <w:spacing w:after="120" w:line="240" w:lineRule="auto"/>
              <w:ind w:left="720"/>
              <w:contextualSpacing/>
              <w:jc w:val="both"/>
              <w:rPr>
                <w:rFonts w:ascii="Times New Roman" w:hAnsi="Times New Roman" w:cs="Times New Roman"/>
                <w:sz w:val="20"/>
                <w:szCs w:val="20"/>
              </w:rPr>
            </w:pPr>
            <w:r w:rsidRPr="0002368E">
              <w:rPr>
                <w:rFonts w:ascii="Times New Roman" w:hAnsi="Times New Roman" w:cs="Times New Roman"/>
                <w:sz w:val="20"/>
                <w:szCs w:val="20"/>
              </w:rPr>
              <w:t>Whether the control information is needed/predefined or not</w:t>
            </w:r>
          </w:p>
          <w:p w14:paraId="39EB3781" w14:textId="77777777" w:rsidR="00A43333" w:rsidRPr="0002368E" w:rsidRDefault="00A43333">
            <w:pPr>
              <w:pStyle w:val="ListParagraph"/>
              <w:numPr>
                <w:ilvl w:val="1"/>
                <w:numId w:val="32"/>
              </w:numPr>
              <w:autoSpaceDE w:val="0"/>
              <w:autoSpaceDN w:val="0"/>
              <w:adjustRightInd w:val="0"/>
              <w:snapToGrid w:val="0"/>
              <w:spacing w:after="120" w:line="240" w:lineRule="auto"/>
              <w:ind w:left="720"/>
              <w:contextualSpacing/>
              <w:jc w:val="both"/>
              <w:rPr>
                <w:rFonts w:ascii="Times New Roman" w:hAnsi="Times New Roman" w:cs="Times New Roman"/>
                <w:sz w:val="20"/>
                <w:szCs w:val="20"/>
              </w:rPr>
            </w:pPr>
            <w:r w:rsidRPr="0002368E">
              <w:rPr>
                <w:rFonts w:ascii="Times New Roman" w:hAnsi="Times New Roman" w:cs="Times New Roman"/>
                <w:sz w:val="20"/>
                <w:szCs w:val="20"/>
              </w:rPr>
              <w:t>For control information that is not fixed, whether it is signaled as L1 control information and/or via higher-layer signaling (e.g. MAC CE, RRC)</w:t>
            </w:r>
          </w:p>
          <w:p w14:paraId="0FBD1387" w14:textId="77777777" w:rsidR="00A43333" w:rsidRPr="0002368E" w:rsidRDefault="00A43333">
            <w:pPr>
              <w:pStyle w:val="ListParagraph"/>
              <w:numPr>
                <w:ilvl w:val="1"/>
                <w:numId w:val="32"/>
              </w:numPr>
              <w:autoSpaceDE w:val="0"/>
              <w:autoSpaceDN w:val="0"/>
              <w:adjustRightInd w:val="0"/>
              <w:snapToGrid w:val="0"/>
              <w:spacing w:after="120" w:line="240" w:lineRule="auto"/>
              <w:ind w:left="720"/>
              <w:contextualSpacing/>
              <w:jc w:val="both"/>
              <w:rPr>
                <w:rFonts w:ascii="Times New Roman" w:hAnsi="Times New Roman" w:cs="Times New Roman"/>
                <w:sz w:val="20"/>
                <w:szCs w:val="20"/>
              </w:rPr>
            </w:pPr>
            <w:r w:rsidRPr="0002368E">
              <w:rPr>
                <w:rFonts w:ascii="Times New Roman" w:hAnsi="Times New Roman" w:cs="Times New Roman"/>
                <w:sz w:val="20"/>
                <w:szCs w:val="20"/>
              </w:rPr>
              <w:t>Whether the control information is unicast, groupcast, broadcast</w:t>
            </w:r>
          </w:p>
        </w:tc>
      </w:tr>
    </w:tbl>
    <w:bookmarkEnd w:id="41"/>
    <w:p w14:paraId="535BE960" w14:textId="1FA7AE71" w:rsidR="00A20EEA" w:rsidRDefault="00317C79" w:rsidP="006A13A0">
      <w:pPr>
        <w:spacing w:before="120"/>
        <w:jc w:val="both"/>
      </w:pPr>
      <w:r>
        <w:t>RAN1</w:t>
      </w:r>
      <w:r w:rsidR="00204053">
        <w:t xml:space="preserve"> need</w:t>
      </w:r>
      <w:r>
        <w:t>s</w:t>
      </w:r>
      <w:r w:rsidR="00204053">
        <w:t xml:space="preserve"> to discuss the </w:t>
      </w:r>
      <w:r w:rsidR="006B05F6">
        <w:t>content</w:t>
      </w:r>
      <w:r w:rsidR="00204053">
        <w:t xml:space="preserve"> of </w:t>
      </w:r>
      <w:r w:rsidR="003D0AFE">
        <w:t>R2D</w:t>
      </w:r>
      <w:r>
        <w:t xml:space="preserve"> </w:t>
      </w:r>
      <w:r w:rsidR="00204053">
        <w:t>control information that needs to be transmitted.</w:t>
      </w:r>
      <w:r w:rsidR="00A20EEA">
        <w:t xml:space="preserve"> For example,</w:t>
      </w:r>
      <w:r w:rsidR="00E81DC6">
        <w:t xml:space="preserve"> the payload size, modulation scheme to be used by the </w:t>
      </w:r>
      <w:r>
        <w:t xml:space="preserve">active and passive </w:t>
      </w:r>
      <w:r w:rsidR="00E81DC6">
        <w:t>device</w:t>
      </w:r>
      <w:r>
        <w:t>s</w:t>
      </w:r>
      <w:r w:rsidR="00982588">
        <w:t xml:space="preserve"> on </w:t>
      </w:r>
      <w:r>
        <w:t>PDRCH</w:t>
      </w:r>
      <w:r w:rsidR="00982588">
        <w:t>, information about time and frequency resources to be used by the device, etc</w:t>
      </w:r>
      <w:r w:rsidR="00A20EEA">
        <w:t>.</w:t>
      </w:r>
      <w:r w:rsidR="00B474CA">
        <w:t xml:space="preserve"> </w:t>
      </w:r>
      <w:r w:rsidR="001455E2">
        <w:t xml:space="preserve">Some control information will be </w:t>
      </w:r>
      <w:r w:rsidR="00C32988">
        <w:t xml:space="preserve">device-type agnostic and </w:t>
      </w:r>
      <w:r w:rsidR="001455E2">
        <w:t xml:space="preserve">applicable </w:t>
      </w:r>
      <w:r w:rsidR="00607602">
        <w:t xml:space="preserve">to </w:t>
      </w:r>
      <w:r w:rsidR="00C32988">
        <w:t xml:space="preserve">all device types whereas </w:t>
      </w:r>
      <w:r w:rsidR="00C712F6">
        <w:t xml:space="preserve">other control information may be device-type specific and applicable to a certain device type only. </w:t>
      </w:r>
      <w:r w:rsidR="00F27781">
        <w:t xml:space="preserve">For example, </w:t>
      </w:r>
      <w:r w:rsidR="00301B47">
        <w:t>any</w:t>
      </w:r>
      <w:r w:rsidR="00A77295">
        <w:t xml:space="preserve"> control information related to backscatter</w:t>
      </w:r>
      <w:r w:rsidR="00BB70D4">
        <w:t xml:space="preserve"> </w:t>
      </w:r>
      <w:r w:rsidR="00301B47">
        <w:t xml:space="preserve">communication </w:t>
      </w:r>
      <w:r w:rsidR="00A87572">
        <w:t xml:space="preserve">on PDRCH </w:t>
      </w:r>
      <w:r w:rsidR="00301B47">
        <w:t xml:space="preserve">will be </w:t>
      </w:r>
      <w:r w:rsidR="00A87572">
        <w:t>relevant</w:t>
      </w:r>
      <w:r w:rsidR="00301B47">
        <w:t xml:space="preserve"> </w:t>
      </w:r>
      <w:r w:rsidR="00BB70D4">
        <w:t xml:space="preserve">for the passive devices whereas </w:t>
      </w:r>
      <w:r w:rsidR="00435EA7">
        <w:t xml:space="preserve">other </w:t>
      </w:r>
      <w:r w:rsidR="00290864">
        <w:t xml:space="preserve">control information </w:t>
      </w:r>
      <w:r w:rsidR="00695285">
        <w:t xml:space="preserve">related to </w:t>
      </w:r>
      <w:r w:rsidR="00A93020">
        <w:t>PDRCH transmission configuration (e.g.</w:t>
      </w:r>
      <w:r w:rsidR="003F0F93">
        <w:t>,</w:t>
      </w:r>
      <w:r w:rsidR="00A93020">
        <w:t xml:space="preserve"> waveform, modulation format etc.) for active transmission</w:t>
      </w:r>
      <w:r w:rsidR="00695285">
        <w:t xml:space="preserve"> </w:t>
      </w:r>
      <w:r w:rsidR="00301B47">
        <w:t xml:space="preserve">will be useful for the active </w:t>
      </w:r>
      <w:r w:rsidR="00A87572">
        <w:t>devices.</w:t>
      </w:r>
      <w:r w:rsidR="0021299F">
        <w:t xml:space="preserve"> Therefore, the </w:t>
      </w:r>
      <w:r w:rsidR="003D0AFE">
        <w:t>R2D</w:t>
      </w:r>
      <w:r w:rsidR="0021299F">
        <w:t xml:space="preserve"> control information design should be flexible enough to address the needs of both active and passive devices.</w:t>
      </w:r>
    </w:p>
    <w:p w14:paraId="52DA7021" w14:textId="4CA14C8D" w:rsidR="00211D17" w:rsidRDefault="00211D17" w:rsidP="00886B32">
      <w:pPr>
        <w:pStyle w:val="Observation"/>
        <w:ind w:left="1701" w:hanging="1701"/>
        <w:jc w:val="left"/>
      </w:pPr>
      <w:bookmarkStart w:id="42" w:name="_Toc166257147"/>
      <w:r>
        <w:lastRenderedPageBreak/>
        <w:t xml:space="preserve">Some </w:t>
      </w:r>
      <w:r w:rsidR="004E6FD6">
        <w:t xml:space="preserve">R2D </w:t>
      </w:r>
      <w:r>
        <w:t xml:space="preserve">control information will be </w:t>
      </w:r>
      <w:r w:rsidR="00A93020">
        <w:t xml:space="preserve">A-IoT </w:t>
      </w:r>
      <w:r w:rsidR="001455E2">
        <w:t xml:space="preserve">device-type agnostic </w:t>
      </w:r>
      <w:r w:rsidR="00FC3569">
        <w:t xml:space="preserve">and </w:t>
      </w:r>
      <w:r w:rsidR="001A7B51">
        <w:t xml:space="preserve">generally </w:t>
      </w:r>
      <w:r>
        <w:t xml:space="preserve">applicable to all device types whereas other </w:t>
      </w:r>
      <w:r w:rsidR="000F2AA7">
        <w:t xml:space="preserve">may be </w:t>
      </w:r>
      <w:r w:rsidR="00A93020">
        <w:t xml:space="preserve">A-IoT </w:t>
      </w:r>
      <w:r w:rsidR="001A7B51">
        <w:t>device-type specific</w:t>
      </w:r>
      <w:r w:rsidR="000F2AA7">
        <w:t>.</w:t>
      </w:r>
      <w:bookmarkEnd w:id="42"/>
    </w:p>
    <w:p w14:paraId="4158CE2E" w14:textId="77777777" w:rsidR="008D6672" w:rsidRDefault="008D6672" w:rsidP="00886B32">
      <w:pPr>
        <w:pStyle w:val="Observation"/>
        <w:ind w:left="1701" w:hanging="1701"/>
        <w:jc w:val="left"/>
      </w:pPr>
      <w:bookmarkStart w:id="43" w:name="_Toc166257148"/>
      <w:r>
        <w:t>The R2D control information for A-IoT devices should be designed flexibly to cater to both active and passive device types.</w:t>
      </w:r>
      <w:bookmarkEnd w:id="43"/>
    </w:p>
    <w:p w14:paraId="52BA4B33" w14:textId="51F90D3C" w:rsidR="006A13A0" w:rsidRDefault="006A13A0" w:rsidP="006A13A0">
      <w:pPr>
        <w:jc w:val="both"/>
      </w:pPr>
      <w:r>
        <w:t xml:space="preserve">If the payload size of the control information is fixed, then it can be transmitted using physical layer </w:t>
      </w:r>
      <w:r w:rsidR="00E36C7C">
        <w:t>signaling</w:t>
      </w:r>
      <w:r>
        <w:t xml:space="preserve">. However, if a certain type of control information is optional or if it has a variable payload size, then it may be transmitted using higher layer </w:t>
      </w:r>
      <w:r w:rsidR="00E36C7C">
        <w:t>signaling</w:t>
      </w:r>
      <w:r>
        <w:t>.</w:t>
      </w:r>
    </w:p>
    <w:p w14:paraId="4FE3CCCD" w14:textId="403D8A66" w:rsidR="006A13A0" w:rsidRDefault="006A13A0" w:rsidP="00886B32">
      <w:pPr>
        <w:pStyle w:val="Proposal"/>
        <w:numPr>
          <w:ilvl w:val="0"/>
          <w:numId w:val="2"/>
        </w:numPr>
        <w:tabs>
          <w:tab w:val="clear" w:pos="1304"/>
        </w:tabs>
        <w:ind w:left="1701" w:hanging="1701"/>
        <w:jc w:val="left"/>
      </w:pPr>
      <w:bookmarkStart w:id="44" w:name="_Toc166257171"/>
      <w:r>
        <w:t xml:space="preserve">If a certain control information has a fixed payload length, it can be transmitted using physical layer </w:t>
      </w:r>
      <w:r w:rsidR="00E36C7C">
        <w:t>signaling</w:t>
      </w:r>
      <w:r>
        <w:t xml:space="preserve">. If it is optional or has a variable payload length, it can be transmitted using higher layer </w:t>
      </w:r>
      <w:r w:rsidR="00E36C7C">
        <w:t>signaling</w:t>
      </w:r>
      <w:r>
        <w:t>.</w:t>
      </w:r>
      <w:bookmarkEnd w:id="44"/>
    </w:p>
    <w:p w14:paraId="7134B62D" w14:textId="77777777" w:rsidR="006A13A0" w:rsidRDefault="006A13A0" w:rsidP="006A13A0">
      <w:pPr>
        <w:jc w:val="both"/>
      </w:pPr>
      <w:r>
        <w:t>We are open to considering a dedicated control channel or reusing PRDCH for transmitting control information.</w:t>
      </w:r>
    </w:p>
    <w:p w14:paraId="0E3DD729" w14:textId="77777777" w:rsidR="006A13A0" w:rsidRDefault="006A13A0" w:rsidP="00886B32">
      <w:pPr>
        <w:pStyle w:val="Proposal"/>
        <w:numPr>
          <w:ilvl w:val="0"/>
          <w:numId w:val="2"/>
        </w:numPr>
        <w:tabs>
          <w:tab w:val="clear" w:pos="1304"/>
        </w:tabs>
        <w:ind w:left="1701" w:hanging="1701"/>
        <w:jc w:val="left"/>
      </w:pPr>
      <w:bookmarkStart w:id="45" w:name="_Toc166257172"/>
      <w:r>
        <w:t>RAN1 to discuss whether to reuse PRDCH or to define a dedicated channel for transmitting R2D control information to A-IoT devices.</w:t>
      </w:r>
      <w:bookmarkEnd w:id="45"/>
    </w:p>
    <w:p w14:paraId="5E300F6B" w14:textId="4DCA2160" w:rsidR="006A13A0" w:rsidRDefault="00536A40" w:rsidP="006A13A0">
      <w:pPr>
        <w:spacing w:before="120" w:after="0" w:line="240" w:lineRule="auto"/>
        <w:jc w:val="both"/>
        <w:rPr>
          <w:lang w:eastAsia="ja-JP"/>
        </w:rPr>
      </w:pPr>
      <w:r>
        <w:rPr>
          <w:lang w:eastAsia="ja-JP"/>
        </w:rPr>
        <w:t>It wa</w:t>
      </w:r>
      <w:r w:rsidR="006A13A0" w:rsidRPr="00273F1F">
        <w:rPr>
          <w:lang w:eastAsia="ja-JP"/>
        </w:rPr>
        <w:t>s agreed in RAN1#116 that</w:t>
      </w:r>
      <w:r w:rsidR="006A13A0" w:rsidRPr="00536A40">
        <w:rPr>
          <w:lang w:eastAsia="ja-JP"/>
        </w:rPr>
        <w:t xml:space="preserve"> a dedicated physical broadcast channel for R2D, e.g., PBCH-like, is not considered for study,</w:t>
      </w:r>
      <w:r w:rsidR="006A13A0" w:rsidRPr="00273F1F">
        <w:rPr>
          <w:lang w:eastAsia="ja-JP"/>
        </w:rPr>
        <w:t xml:space="preserve"> </w:t>
      </w:r>
      <w:r>
        <w:rPr>
          <w:lang w:eastAsia="ja-JP"/>
        </w:rPr>
        <w:t xml:space="preserve">therefore </w:t>
      </w:r>
      <w:r w:rsidR="006A13A0" w:rsidRPr="00273F1F">
        <w:rPr>
          <w:lang w:eastAsia="ja-JP"/>
        </w:rPr>
        <w:t>s</w:t>
      </w:r>
      <w:r w:rsidR="006A13A0">
        <w:rPr>
          <w:lang w:eastAsia="ja-JP"/>
        </w:rPr>
        <w:t xml:space="preserve">ystem information can potentially be transmitted on PRDCH. As PRDCH may be used to carry different types of information (including SI, control, and data), a special structure or payload format can be defined to distinguish between and carry the different types of information transmitted on the PRDCH. For example, control information can indicate the type of information in the R2D data transmission. Studies are needed on the </w:t>
      </w:r>
      <w:r w:rsidR="006A13A0">
        <w:t>required</w:t>
      </w:r>
      <w:r w:rsidR="006A13A0">
        <w:rPr>
          <w:lang w:eastAsia="ja-JP"/>
        </w:rPr>
        <w:t xml:space="preserve"> control fields, the number of control bits, and the position of control information in a PRDCH, e.g., after the preamble in every PRDCH message. Alternatively, whether distinct starting preambles can be used to indicate the PRDCH format type can also be studied. Moreover, it will be pertinent to discuss the possibility of using radio network temporary identifiers (RNTI) for scrambling the contents of PRDCH (e.g., CRC bits) to distinguish between A-IoT devices or to let the device distinguish between the different types of PRDCH messages.</w:t>
      </w:r>
    </w:p>
    <w:p w14:paraId="74CC76AD" w14:textId="3C4E4FC8" w:rsidR="006A13A0" w:rsidRDefault="006A13A0" w:rsidP="00886B32">
      <w:pPr>
        <w:pStyle w:val="Observation"/>
        <w:spacing w:before="120"/>
        <w:ind w:left="1699" w:hanging="1699"/>
        <w:jc w:val="left"/>
      </w:pPr>
      <w:bookmarkStart w:id="46" w:name="_Toc166257149"/>
      <w:r>
        <w:t>Us</w:t>
      </w:r>
      <w:r w:rsidR="00BC5FB3">
        <w:t>e of</w:t>
      </w:r>
      <w:r>
        <w:t xml:space="preserve"> control information, preamble partitioning, and scrambling are some of the ways to distinguish between different types of PRDCH.</w:t>
      </w:r>
      <w:bookmarkEnd w:id="46"/>
    </w:p>
    <w:p w14:paraId="62F1BFE2" w14:textId="6DDE8669" w:rsidR="006A13A0" w:rsidRDefault="006A13A0" w:rsidP="00886B32">
      <w:pPr>
        <w:pStyle w:val="Proposal"/>
        <w:numPr>
          <w:ilvl w:val="0"/>
          <w:numId w:val="2"/>
        </w:numPr>
        <w:tabs>
          <w:tab w:val="clear" w:pos="1304"/>
        </w:tabs>
        <w:ind w:left="1701" w:hanging="1701"/>
        <w:jc w:val="left"/>
      </w:pPr>
      <w:bookmarkStart w:id="47" w:name="_Toc166257173"/>
      <w:r>
        <w:t>RAN1 to discuss how to transmit and distinguish between the different types of information (e.g., SI, control, and data) on PRDCH.</w:t>
      </w:r>
      <w:bookmarkEnd w:id="47"/>
    </w:p>
    <w:p w14:paraId="6F5B36D0" w14:textId="77777777" w:rsidR="006A13A0" w:rsidRDefault="006A13A0" w:rsidP="006A13A0">
      <w:pPr>
        <w:jc w:val="both"/>
        <w:rPr>
          <w:lang w:eastAsia="ja-JP"/>
        </w:rPr>
      </w:pPr>
      <w:r>
        <w:rPr>
          <w:lang w:eastAsia="ja-JP"/>
        </w:rPr>
        <w:t>PRDCH should support a simple yet scalable design to keep the decoding complexity low at the A-IoT device depending on the device capability. This means that blind decoding should be avoided as much as possible. Moreover, the design should be scalable to the decoding capabilities of different device types. For example, the decoding capability of Devices 2a and 2b will potentially be superior to that of Device 1.</w:t>
      </w:r>
    </w:p>
    <w:p w14:paraId="0C0A6C05" w14:textId="193542CA" w:rsidR="00B72300" w:rsidRDefault="00D878CB" w:rsidP="00536A40">
      <w:pPr>
        <w:jc w:val="both"/>
      </w:pPr>
      <w:r>
        <w:t xml:space="preserve">The SI </w:t>
      </w:r>
      <w:r w:rsidR="004B1181">
        <w:t>may need to be broadcast to A-IoT devices. In addition, t</w:t>
      </w:r>
      <w:r w:rsidR="00B52DFA">
        <w:t xml:space="preserve">he </w:t>
      </w:r>
      <w:r w:rsidR="00076504">
        <w:t xml:space="preserve">reader may intend to </w:t>
      </w:r>
      <w:r w:rsidR="00E57AD3">
        <w:t xml:space="preserve">transmit </w:t>
      </w:r>
      <w:r w:rsidR="00381BE5">
        <w:t xml:space="preserve">the </w:t>
      </w:r>
      <w:r w:rsidR="00B52DFA">
        <w:t xml:space="preserve">control information </w:t>
      </w:r>
      <w:r w:rsidR="00E57AD3">
        <w:t xml:space="preserve">addressed to </w:t>
      </w:r>
      <w:r w:rsidR="00381BE5">
        <w:t xml:space="preserve">a particular </w:t>
      </w:r>
      <w:r w:rsidR="009A0EFB">
        <w:t xml:space="preserve">A-IoT device or </w:t>
      </w:r>
      <w:r w:rsidR="00E57AD3">
        <w:t xml:space="preserve">a </w:t>
      </w:r>
      <w:r w:rsidR="009A0EFB">
        <w:t>group of devices. Therefore,</w:t>
      </w:r>
      <w:r w:rsidR="00E57AD3">
        <w:t xml:space="preserve"> both unicast and multicast should be supported for </w:t>
      </w:r>
      <w:r w:rsidR="00D728C5">
        <w:t>control information.</w:t>
      </w:r>
      <w:r w:rsidR="004B1181">
        <w:t xml:space="preserve"> </w:t>
      </w:r>
      <w:r w:rsidR="00807500">
        <w:t>If</w:t>
      </w:r>
      <w:r w:rsidR="004B1181">
        <w:t xml:space="preserve"> a common channel </w:t>
      </w:r>
      <w:r w:rsidR="00807500">
        <w:t>(PRDCH) is</w:t>
      </w:r>
      <w:r w:rsidR="004B1181">
        <w:t xml:space="preserve"> used to carry SI and control information, </w:t>
      </w:r>
      <w:r w:rsidR="00706CFB">
        <w:t xml:space="preserve">unicast, multicast and broadcast should </w:t>
      </w:r>
      <w:r w:rsidR="00882C3D">
        <w:t xml:space="preserve">all </w:t>
      </w:r>
      <w:r w:rsidR="00706CFB">
        <w:t>be supported.</w:t>
      </w:r>
    </w:p>
    <w:p w14:paraId="1A9C0AD0" w14:textId="10E2955E" w:rsidR="00B72300" w:rsidRDefault="008F31FB" w:rsidP="00886B32">
      <w:pPr>
        <w:pStyle w:val="Proposal"/>
        <w:numPr>
          <w:ilvl w:val="0"/>
          <w:numId w:val="2"/>
        </w:numPr>
        <w:tabs>
          <w:tab w:val="clear" w:pos="1304"/>
        </w:tabs>
        <w:ind w:left="1701" w:hanging="1701"/>
        <w:jc w:val="left"/>
      </w:pPr>
      <w:bookmarkStart w:id="48" w:name="_Toc166257174"/>
      <w:r>
        <w:t>The control</w:t>
      </w:r>
      <w:r w:rsidR="00882C3D">
        <w:t>/</w:t>
      </w:r>
      <w:r>
        <w:t xml:space="preserve">system information </w:t>
      </w:r>
      <w:r w:rsidR="00D61C3F">
        <w:t xml:space="preserve">can be </w:t>
      </w:r>
      <w:r w:rsidR="00D107B0">
        <w:t xml:space="preserve">transmitted using </w:t>
      </w:r>
      <w:r w:rsidR="00D61C3F">
        <w:t>u</w:t>
      </w:r>
      <w:r>
        <w:t>nicast</w:t>
      </w:r>
      <w:r w:rsidR="00D61C3F">
        <w:t xml:space="preserve">, multicast and </w:t>
      </w:r>
      <w:r>
        <w:t>broadcast</w:t>
      </w:r>
      <w:r w:rsidR="00B72300">
        <w:t>.</w:t>
      </w:r>
      <w:bookmarkEnd w:id="48"/>
    </w:p>
    <w:p w14:paraId="0814EC5C" w14:textId="060BBBDE" w:rsidR="00A20EEA" w:rsidRDefault="00A20EEA" w:rsidP="00886B32">
      <w:pPr>
        <w:pStyle w:val="Proposal"/>
        <w:numPr>
          <w:ilvl w:val="0"/>
          <w:numId w:val="2"/>
        </w:numPr>
        <w:tabs>
          <w:tab w:val="clear" w:pos="1304"/>
        </w:tabs>
        <w:ind w:left="1701" w:hanging="1701"/>
        <w:jc w:val="left"/>
      </w:pPr>
      <w:bookmarkStart w:id="49" w:name="_Toc165991082"/>
      <w:bookmarkStart w:id="50" w:name="_Toc166057087"/>
      <w:bookmarkStart w:id="51" w:name="_Toc166057109"/>
      <w:bookmarkStart w:id="52" w:name="_Toc166257175"/>
      <w:bookmarkEnd w:id="49"/>
      <w:bookmarkEnd w:id="50"/>
      <w:bookmarkEnd w:id="51"/>
      <w:r>
        <w:t xml:space="preserve">RAN1 to discuss the </w:t>
      </w:r>
      <w:r w:rsidR="00BC1BB0">
        <w:t xml:space="preserve">potential </w:t>
      </w:r>
      <w:r w:rsidR="004E6FD6">
        <w:t>R2D</w:t>
      </w:r>
      <w:r>
        <w:t xml:space="preserve"> control information </w:t>
      </w:r>
      <w:r w:rsidR="000B21D7">
        <w:t>for PRDCH</w:t>
      </w:r>
      <w:r w:rsidR="002835A8">
        <w:t xml:space="preserve"> and PDRCH </w:t>
      </w:r>
      <w:r>
        <w:t xml:space="preserve">that needs to be transmitted </w:t>
      </w:r>
      <w:r w:rsidR="00B25796">
        <w:t>for each</w:t>
      </w:r>
      <w:r>
        <w:t xml:space="preserve"> A-IoT device</w:t>
      </w:r>
      <w:r w:rsidR="00B25796">
        <w:t xml:space="preserve"> type</w:t>
      </w:r>
      <w:r w:rsidR="00554D5F">
        <w:t xml:space="preserve"> such as </w:t>
      </w:r>
      <w:r w:rsidR="00A61691">
        <w:t>time</w:t>
      </w:r>
      <w:r w:rsidR="00EF6ED1">
        <w:t xml:space="preserve"> </w:t>
      </w:r>
      <w:r w:rsidR="00A61691">
        <w:t>domain</w:t>
      </w:r>
      <w:r w:rsidR="00F5516B">
        <w:t xml:space="preserve"> and </w:t>
      </w:r>
      <w:r w:rsidR="00EF6ED1">
        <w:t>frequency domain</w:t>
      </w:r>
      <w:r w:rsidR="00A61691">
        <w:t xml:space="preserve"> resource allocation, </w:t>
      </w:r>
      <w:r w:rsidR="004E14BA">
        <w:t>TBS, MCS</w:t>
      </w:r>
      <w:r w:rsidR="00783D57">
        <w:t xml:space="preserve"> (</w:t>
      </w:r>
      <w:r w:rsidR="00D54237">
        <w:t>cod</w:t>
      </w:r>
      <w:r w:rsidR="00783D57">
        <w:t>ing</w:t>
      </w:r>
      <w:r w:rsidR="00D54237">
        <w:t xml:space="preserve"> rate</w:t>
      </w:r>
      <w:r w:rsidR="00783D57">
        <w:t>)</w:t>
      </w:r>
      <w:r w:rsidR="00D54237">
        <w:t xml:space="preserve">, </w:t>
      </w:r>
      <w:r w:rsidR="005A71F0">
        <w:t xml:space="preserve">modulation </w:t>
      </w:r>
      <w:r w:rsidR="00825C78">
        <w:t>related information</w:t>
      </w:r>
      <w:r w:rsidR="005A71F0">
        <w:t xml:space="preserve">, </w:t>
      </w:r>
      <w:r w:rsidR="00EF6ED1">
        <w:t>r</w:t>
      </w:r>
      <w:r w:rsidR="00D54237">
        <w:t>epetition</w:t>
      </w:r>
      <w:r w:rsidR="00EF6ED1">
        <w:t xml:space="preserve"> configuration</w:t>
      </w:r>
      <w:r w:rsidR="00D54237">
        <w:t xml:space="preserve">, </w:t>
      </w:r>
      <w:r w:rsidR="003D52AB">
        <w:t>device type</w:t>
      </w:r>
      <w:r w:rsidR="004D788A">
        <w:t xml:space="preserve">, </w:t>
      </w:r>
      <w:r w:rsidR="00966535">
        <w:t xml:space="preserve">device ID, group ID, </w:t>
      </w:r>
      <w:r w:rsidR="004D788A">
        <w:t xml:space="preserve">cast type, </w:t>
      </w:r>
      <w:r w:rsidR="00966535">
        <w:t>reader ID</w:t>
      </w:r>
      <w:r>
        <w:t>.</w:t>
      </w:r>
      <w:bookmarkEnd w:id="52"/>
    </w:p>
    <w:p w14:paraId="719F1B4F" w14:textId="5FA54698" w:rsidR="001E7C1B" w:rsidRDefault="003F18A5" w:rsidP="00B72E23">
      <w:pPr>
        <w:pStyle w:val="Heading1"/>
        <w:numPr>
          <w:ilvl w:val="0"/>
          <w:numId w:val="16"/>
        </w:numPr>
        <w:jc w:val="both"/>
        <w:rPr>
          <w:lang w:val="en-US"/>
        </w:rPr>
      </w:pPr>
      <w:r>
        <w:rPr>
          <w:lang w:val="en-US" w:eastAsia="zh-CN"/>
        </w:rPr>
        <w:t>D</w:t>
      </w:r>
      <w:r w:rsidRPr="00B72E23">
        <w:rPr>
          <w:lang w:val="en-US" w:eastAsia="zh-CN"/>
        </w:rPr>
        <w:t>2R</w:t>
      </w:r>
      <w:r w:rsidRPr="001936E3">
        <w:rPr>
          <w:lang w:val="en-US"/>
        </w:rPr>
        <w:t xml:space="preserve"> control </w:t>
      </w:r>
      <w:r>
        <w:rPr>
          <w:lang w:val="en-US"/>
        </w:rPr>
        <w:t>information</w:t>
      </w:r>
      <w:r>
        <w:rPr>
          <w:lang w:val="en-US" w:eastAsia="zh-CN"/>
        </w:rPr>
        <w:t xml:space="preserve"> </w:t>
      </w:r>
    </w:p>
    <w:p w14:paraId="4DC13654" w14:textId="108A8A39" w:rsidR="009522FE" w:rsidRPr="005A6C41" w:rsidRDefault="002110B6" w:rsidP="00D71DE0">
      <w:pPr>
        <w:jc w:val="both"/>
        <w:rPr>
          <w:lang w:eastAsia="ja-JP"/>
        </w:rPr>
      </w:pPr>
      <w:r>
        <w:rPr>
          <w:lang w:eastAsia="ja-JP"/>
        </w:rPr>
        <w:t>In the previous RAN1 meeting, the following proposal</w:t>
      </w:r>
      <w:r w:rsidR="008677D2">
        <w:rPr>
          <w:lang w:eastAsia="ja-JP"/>
        </w:rPr>
        <w:t>s</w:t>
      </w:r>
      <w:r>
        <w:rPr>
          <w:lang w:eastAsia="ja-JP"/>
        </w:rPr>
        <w:t xml:space="preserve"> w</w:t>
      </w:r>
      <w:r w:rsidR="008677D2">
        <w:rPr>
          <w:lang w:eastAsia="ja-JP"/>
        </w:rPr>
        <w:t>ere</w:t>
      </w:r>
      <w:r>
        <w:rPr>
          <w:lang w:eastAsia="ja-JP"/>
        </w:rPr>
        <w:t xml:space="preserve"> discussed.</w:t>
      </w:r>
      <w:r w:rsidR="009C394A">
        <w:rPr>
          <w:lang w:eastAsia="ja-JP"/>
        </w:rPr>
        <w:t xml:space="preserve"> In this section, we provide our views on topics related to th</w:t>
      </w:r>
      <w:r w:rsidR="008677D2">
        <w:rPr>
          <w:lang w:eastAsia="ja-JP"/>
        </w:rPr>
        <w:t>ese</w:t>
      </w:r>
      <w:r w:rsidR="009C394A">
        <w:rPr>
          <w:lang w:eastAsia="ja-JP"/>
        </w:rPr>
        <w:t xml:space="preserve"> proposal</w:t>
      </w:r>
      <w:r w:rsidR="008677D2">
        <w:rPr>
          <w:lang w:eastAsia="ja-JP"/>
        </w:rPr>
        <w:t>s</w:t>
      </w:r>
      <w:r w:rsidR="009C394A">
        <w:rPr>
          <w:lang w:eastAsia="ja-JP"/>
        </w:rPr>
        <w:t>.</w:t>
      </w:r>
    </w:p>
    <w:tbl>
      <w:tblPr>
        <w:tblStyle w:val="TableGrid"/>
        <w:tblW w:w="0" w:type="auto"/>
        <w:tblLook w:val="04A0" w:firstRow="1" w:lastRow="0" w:firstColumn="1" w:lastColumn="0" w:noHBand="0" w:noVBand="1"/>
      </w:tblPr>
      <w:tblGrid>
        <w:gridCol w:w="9629"/>
      </w:tblGrid>
      <w:tr w:rsidR="00D71E99" w14:paraId="42DFD3BD" w14:textId="77777777" w:rsidTr="00D71E99">
        <w:tc>
          <w:tcPr>
            <w:tcW w:w="9629" w:type="dxa"/>
          </w:tcPr>
          <w:p w14:paraId="79064042" w14:textId="19465E05" w:rsidR="004A79FF" w:rsidRPr="009522FE" w:rsidRDefault="004A79FF" w:rsidP="003F18A5">
            <w:pPr>
              <w:rPr>
                <w:rFonts w:ascii="Times New Roman" w:hAnsi="Times New Roman" w:cs="Times New Roman"/>
                <w:b/>
                <w:sz w:val="20"/>
                <w:szCs w:val="20"/>
              </w:rPr>
            </w:pPr>
            <w:r w:rsidRPr="009522FE">
              <w:rPr>
                <w:rFonts w:ascii="Times New Roman" w:hAnsi="Times New Roman" w:cs="Times New Roman"/>
                <w:b/>
                <w:sz w:val="20"/>
                <w:szCs w:val="20"/>
              </w:rPr>
              <w:lastRenderedPageBreak/>
              <w:t>RAN1#116bis</w:t>
            </w:r>
            <w:r w:rsidR="009522FE" w:rsidRPr="009522FE">
              <w:rPr>
                <w:rFonts w:ascii="Times New Roman" w:hAnsi="Times New Roman" w:cs="Times New Roman"/>
                <w:b/>
                <w:bCs/>
                <w:sz w:val="20"/>
                <w:szCs w:val="20"/>
              </w:rPr>
              <w:t>:</w:t>
            </w:r>
          </w:p>
          <w:p w14:paraId="7846DC40" w14:textId="247D6130" w:rsidR="003F18A5" w:rsidRPr="009522FE" w:rsidRDefault="003F18A5" w:rsidP="008D04FA">
            <w:pPr>
              <w:spacing w:after="0"/>
              <w:rPr>
                <w:rFonts w:ascii="Times New Roman" w:hAnsi="Times New Roman" w:cs="Times New Roman"/>
                <w:b/>
                <w:i/>
                <w:sz w:val="20"/>
                <w:szCs w:val="20"/>
              </w:rPr>
            </w:pPr>
            <w:r w:rsidRPr="009522FE">
              <w:rPr>
                <w:rFonts w:ascii="Times New Roman" w:hAnsi="Times New Roman" w:cs="Times New Roman"/>
                <w:b/>
                <w:i/>
                <w:sz w:val="20"/>
                <w:szCs w:val="20"/>
              </w:rPr>
              <w:t>Proposal 2.2.2-1B</w:t>
            </w:r>
          </w:p>
          <w:p w14:paraId="517C7EE2" w14:textId="77777777" w:rsidR="003F18A5" w:rsidRPr="009522FE" w:rsidRDefault="003F18A5" w:rsidP="003F18A5">
            <w:pPr>
              <w:pStyle w:val="ListParagraph"/>
              <w:numPr>
                <w:ilvl w:val="0"/>
                <w:numId w:val="25"/>
              </w:numPr>
              <w:autoSpaceDE w:val="0"/>
              <w:autoSpaceDN w:val="0"/>
              <w:adjustRightInd w:val="0"/>
              <w:snapToGrid w:val="0"/>
              <w:spacing w:after="120" w:line="240" w:lineRule="auto"/>
              <w:ind w:left="360"/>
              <w:contextualSpacing/>
              <w:jc w:val="both"/>
              <w:rPr>
                <w:rFonts w:ascii="Times New Roman" w:hAnsi="Times New Roman" w:cs="Times New Roman"/>
                <w:sz w:val="20"/>
                <w:szCs w:val="20"/>
              </w:rPr>
            </w:pPr>
            <w:r w:rsidRPr="009522FE">
              <w:rPr>
                <w:rFonts w:ascii="Times New Roman" w:hAnsi="Times New Roman" w:cs="Times New Roman"/>
                <w:sz w:val="20"/>
                <w:szCs w:val="20"/>
              </w:rPr>
              <w:t>For D2R control information, the following D2R control information are not considered for further study:</w:t>
            </w:r>
          </w:p>
          <w:p w14:paraId="301C72DA" w14:textId="77777777" w:rsidR="003F18A5" w:rsidRPr="009522FE" w:rsidRDefault="003F18A5" w:rsidP="003F18A5">
            <w:pPr>
              <w:pStyle w:val="ListParagraph"/>
              <w:numPr>
                <w:ilvl w:val="0"/>
                <w:numId w:val="26"/>
              </w:numPr>
              <w:autoSpaceDE w:val="0"/>
              <w:autoSpaceDN w:val="0"/>
              <w:adjustRightInd w:val="0"/>
              <w:snapToGrid w:val="0"/>
              <w:spacing w:after="120" w:line="240" w:lineRule="auto"/>
              <w:ind w:left="810"/>
              <w:contextualSpacing/>
              <w:jc w:val="both"/>
              <w:rPr>
                <w:rFonts w:ascii="Times New Roman" w:hAnsi="Times New Roman" w:cs="Times New Roman"/>
                <w:sz w:val="20"/>
                <w:szCs w:val="20"/>
              </w:rPr>
            </w:pPr>
            <w:r w:rsidRPr="009522FE">
              <w:rPr>
                <w:rFonts w:ascii="Times New Roman" w:hAnsi="Times New Roman" w:cs="Times New Roman"/>
                <w:sz w:val="20"/>
                <w:szCs w:val="20"/>
              </w:rPr>
              <w:t>CSI feedback (e.g. CQI, PMI, RI, etc.)</w:t>
            </w:r>
          </w:p>
          <w:p w14:paraId="4E6EEB5D" w14:textId="77777777" w:rsidR="003F18A5" w:rsidRPr="009522FE" w:rsidRDefault="003F18A5" w:rsidP="003F18A5">
            <w:pPr>
              <w:pStyle w:val="ListParagraph"/>
              <w:numPr>
                <w:ilvl w:val="0"/>
                <w:numId w:val="26"/>
              </w:numPr>
              <w:autoSpaceDE w:val="0"/>
              <w:autoSpaceDN w:val="0"/>
              <w:adjustRightInd w:val="0"/>
              <w:snapToGrid w:val="0"/>
              <w:spacing w:after="120" w:line="240" w:lineRule="auto"/>
              <w:ind w:left="810"/>
              <w:contextualSpacing/>
              <w:jc w:val="both"/>
              <w:rPr>
                <w:rFonts w:ascii="Times New Roman" w:hAnsi="Times New Roman" w:cs="Times New Roman"/>
                <w:sz w:val="20"/>
                <w:szCs w:val="20"/>
              </w:rPr>
            </w:pPr>
            <w:r w:rsidRPr="009522FE">
              <w:rPr>
                <w:rFonts w:ascii="Times New Roman" w:hAnsi="Times New Roman" w:cs="Times New Roman"/>
                <w:sz w:val="20"/>
                <w:szCs w:val="20"/>
              </w:rPr>
              <w:t>SR</w:t>
            </w:r>
          </w:p>
          <w:p w14:paraId="10482448" w14:textId="77777777" w:rsidR="003F18A5" w:rsidRPr="009522FE" w:rsidRDefault="003F18A5" w:rsidP="008D04FA">
            <w:pPr>
              <w:pStyle w:val="ListParagraph"/>
              <w:numPr>
                <w:ilvl w:val="0"/>
                <w:numId w:val="25"/>
              </w:numPr>
              <w:autoSpaceDE w:val="0"/>
              <w:autoSpaceDN w:val="0"/>
              <w:adjustRightInd w:val="0"/>
              <w:snapToGrid w:val="0"/>
              <w:spacing w:after="120" w:line="240" w:lineRule="auto"/>
              <w:ind w:left="360"/>
              <w:contextualSpacing/>
              <w:jc w:val="both"/>
              <w:rPr>
                <w:rFonts w:ascii="Times New Roman" w:hAnsi="Times New Roman" w:cs="Times New Roman"/>
                <w:sz w:val="20"/>
                <w:szCs w:val="20"/>
              </w:rPr>
            </w:pPr>
            <w:r w:rsidRPr="009522FE">
              <w:rPr>
                <w:rFonts w:ascii="Times New Roman" w:hAnsi="Times New Roman" w:cs="Times New Roman"/>
                <w:sz w:val="20"/>
                <w:szCs w:val="20"/>
              </w:rPr>
              <w:t>FFS: Whether ACK/NACK feedback from device to reader is needed or not</w:t>
            </w:r>
          </w:p>
          <w:p w14:paraId="3AA49B4C" w14:textId="77777777" w:rsidR="003F18A5" w:rsidRPr="009522FE" w:rsidRDefault="003F18A5" w:rsidP="003F18A5">
            <w:pPr>
              <w:pStyle w:val="ListParagraph"/>
              <w:numPr>
                <w:ilvl w:val="1"/>
                <w:numId w:val="27"/>
              </w:numPr>
              <w:autoSpaceDE w:val="0"/>
              <w:autoSpaceDN w:val="0"/>
              <w:adjustRightInd w:val="0"/>
              <w:snapToGrid w:val="0"/>
              <w:spacing w:after="120" w:line="240" w:lineRule="auto"/>
              <w:ind w:left="810"/>
              <w:contextualSpacing/>
              <w:jc w:val="both"/>
              <w:rPr>
                <w:rFonts w:ascii="Times New Roman" w:hAnsi="Times New Roman" w:cs="Times New Roman"/>
                <w:color w:val="000000" w:themeColor="text1"/>
                <w:sz w:val="20"/>
                <w:szCs w:val="20"/>
              </w:rPr>
            </w:pPr>
            <w:r w:rsidRPr="009522FE">
              <w:rPr>
                <w:rFonts w:ascii="Times New Roman" w:hAnsi="Times New Roman" w:cs="Times New Roman"/>
                <w:color w:val="000000" w:themeColor="text1"/>
                <w:sz w:val="20"/>
                <w:szCs w:val="20"/>
              </w:rPr>
              <w:t>Please note that studying ACK/NACK feedback doesn’t imply considering HARQ/ARQ operation</w:t>
            </w:r>
          </w:p>
          <w:p w14:paraId="4CC7677D" w14:textId="77777777" w:rsidR="003F18A5" w:rsidRPr="009522FE" w:rsidRDefault="003F18A5" w:rsidP="008D04FA">
            <w:pPr>
              <w:spacing w:after="0"/>
              <w:rPr>
                <w:rFonts w:ascii="Times New Roman" w:hAnsi="Times New Roman" w:cs="Times New Roman"/>
                <w:b/>
                <w:i/>
                <w:sz w:val="20"/>
                <w:szCs w:val="20"/>
              </w:rPr>
            </w:pPr>
            <w:r w:rsidRPr="009522FE">
              <w:rPr>
                <w:rFonts w:ascii="Times New Roman" w:hAnsi="Times New Roman" w:cs="Times New Roman"/>
                <w:b/>
                <w:i/>
                <w:sz w:val="20"/>
                <w:szCs w:val="20"/>
              </w:rPr>
              <w:t>Proposal 2.2.2-2</w:t>
            </w:r>
          </w:p>
          <w:p w14:paraId="18D9F1DE" w14:textId="77777777" w:rsidR="003F18A5" w:rsidRPr="009522FE" w:rsidRDefault="003F18A5" w:rsidP="003F18A5">
            <w:pPr>
              <w:pStyle w:val="ListParagraph"/>
              <w:numPr>
                <w:ilvl w:val="0"/>
                <w:numId w:val="25"/>
              </w:numPr>
              <w:autoSpaceDE w:val="0"/>
              <w:autoSpaceDN w:val="0"/>
              <w:adjustRightInd w:val="0"/>
              <w:snapToGrid w:val="0"/>
              <w:spacing w:after="120" w:line="240" w:lineRule="auto"/>
              <w:ind w:left="360"/>
              <w:contextualSpacing/>
              <w:jc w:val="both"/>
              <w:rPr>
                <w:rFonts w:ascii="Times New Roman" w:hAnsi="Times New Roman" w:cs="Times New Roman"/>
                <w:sz w:val="20"/>
                <w:szCs w:val="20"/>
              </w:rPr>
            </w:pPr>
            <w:r w:rsidRPr="009522FE">
              <w:rPr>
                <w:rFonts w:ascii="Times New Roman" w:hAnsi="Times New Roman" w:cs="Times New Roman"/>
                <w:sz w:val="20"/>
                <w:szCs w:val="20"/>
              </w:rPr>
              <w:t>For D2R, transmission of D2R control information on PDRCH is studied (if any D2R control information is needed)</w:t>
            </w:r>
          </w:p>
          <w:p w14:paraId="46C65CB8" w14:textId="154A2E39" w:rsidR="00D71E99" w:rsidRPr="009522FE" w:rsidRDefault="003F18A5" w:rsidP="00DA3307">
            <w:pPr>
              <w:pStyle w:val="ListParagraph"/>
              <w:numPr>
                <w:ilvl w:val="1"/>
                <w:numId w:val="27"/>
              </w:numPr>
              <w:autoSpaceDE w:val="0"/>
              <w:autoSpaceDN w:val="0"/>
              <w:adjustRightInd w:val="0"/>
              <w:snapToGrid w:val="0"/>
              <w:spacing w:after="120" w:line="240" w:lineRule="auto"/>
              <w:ind w:left="810"/>
              <w:contextualSpacing/>
              <w:jc w:val="both"/>
              <w:rPr>
                <w:rFonts w:ascii="Times New Roman" w:hAnsi="Times New Roman" w:cs="Times New Roman"/>
                <w:sz w:val="20"/>
                <w:szCs w:val="20"/>
              </w:rPr>
            </w:pPr>
            <w:r w:rsidRPr="009522FE">
              <w:rPr>
                <w:rFonts w:ascii="Times New Roman" w:hAnsi="Times New Roman" w:cs="Times New Roman"/>
                <w:sz w:val="20"/>
                <w:szCs w:val="20"/>
              </w:rPr>
              <w:t>Note: How to map D2R control information (if needed) in PDRCH is further studied under the PDRCH design details</w:t>
            </w:r>
          </w:p>
        </w:tc>
      </w:tr>
    </w:tbl>
    <w:p w14:paraId="709CD3B2" w14:textId="549A1B59" w:rsidR="001E779A" w:rsidRDefault="00DF26AE" w:rsidP="00182415">
      <w:pPr>
        <w:spacing w:before="120"/>
        <w:jc w:val="both"/>
      </w:pPr>
      <w:r>
        <w:t xml:space="preserve">Our view is that </w:t>
      </w:r>
      <w:r w:rsidR="006E4F1B">
        <w:t>D2R control information</w:t>
      </w:r>
      <w:r>
        <w:t xml:space="preserve"> should not be ruled out at this stage. </w:t>
      </w:r>
      <w:r w:rsidR="001E779A">
        <w:t xml:space="preserve">Some examples of D2R control information </w:t>
      </w:r>
      <w:r w:rsidR="00B86C96">
        <w:t xml:space="preserve">may </w:t>
      </w:r>
      <w:r w:rsidR="001E779A">
        <w:t>include:</w:t>
      </w:r>
    </w:p>
    <w:p w14:paraId="3BFFB1AA" w14:textId="1558FC08" w:rsidR="001E779A" w:rsidRPr="00D5692A" w:rsidRDefault="00F664FD" w:rsidP="00A67966">
      <w:pPr>
        <w:pStyle w:val="ListParagraph"/>
        <w:numPr>
          <w:ilvl w:val="0"/>
          <w:numId w:val="19"/>
        </w:numPr>
        <w:rPr>
          <w:rFonts w:ascii="Arial" w:hAnsi="Arial" w:cs="Arial"/>
          <w:sz w:val="20"/>
          <w:szCs w:val="20"/>
          <w:lang w:val="en-US"/>
        </w:rPr>
      </w:pPr>
      <w:r>
        <w:rPr>
          <w:rFonts w:ascii="Arial" w:hAnsi="Arial" w:cs="Arial"/>
          <w:sz w:val="20"/>
          <w:szCs w:val="20"/>
          <w:lang w:val="en-US"/>
        </w:rPr>
        <w:t>Confirmat</w:t>
      </w:r>
      <w:r w:rsidR="00931C7F">
        <w:rPr>
          <w:rFonts w:ascii="Arial" w:hAnsi="Arial" w:cs="Arial"/>
          <w:sz w:val="20"/>
          <w:szCs w:val="20"/>
          <w:lang w:val="en-US"/>
        </w:rPr>
        <w:t>ory response</w:t>
      </w:r>
      <w:r w:rsidR="00B910CA" w:rsidRPr="004C37AE">
        <w:rPr>
          <w:rFonts w:ascii="Arial" w:hAnsi="Arial" w:cs="Arial"/>
          <w:sz w:val="20"/>
          <w:szCs w:val="20"/>
        </w:rPr>
        <w:t xml:space="preserve"> </w:t>
      </w:r>
      <w:r w:rsidR="00544DDD">
        <w:rPr>
          <w:rFonts w:ascii="Arial" w:hAnsi="Arial" w:cs="Arial"/>
          <w:sz w:val="20"/>
          <w:szCs w:val="20"/>
          <w:lang w:val="en-US"/>
        </w:rPr>
        <w:t xml:space="preserve">(e.g., ACK) </w:t>
      </w:r>
      <w:r w:rsidR="00B910CA" w:rsidRPr="00D5692A">
        <w:rPr>
          <w:rFonts w:ascii="Arial" w:hAnsi="Arial" w:cs="Arial"/>
          <w:sz w:val="20"/>
          <w:szCs w:val="20"/>
          <w:lang w:val="en-US"/>
        </w:rPr>
        <w:t xml:space="preserve">for the </w:t>
      </w:r>
      <w:r w:rsidR="006E4F1B" w:rsidRPr="00D5692A">
        <w:rPr>
          <w:rFonts w:ascii="Arial" w:hAnsi="Arial" w:cs="Arial"/>
          <w:sz w:val="20"/>
          <w:szCs w:val="20"/>
          <w:lang w:val="en-US"/>
        </w:rPr>
        <w:t>R2D</w:t>
      </w:r>
      <w:r w:rsidR="00B910CA" w:rsidRPr="00D5692A">
        <w:rPr>
          <w:rFonts w:ascii="Arial" w:hAnsi="Arial" w:cs="Arial"/>
          <w:sz w:val="20"/>
          <w:szCs w:val="20"/>
          <w:lang w:val="en-US"/>
        </w:rPr>
        <w:t xml:space="preserve"> message</w:t>
      </w:r>
      <w:r w:rsidR="00C11206">
        <w:rPr>
          <w:rFonts w:ascii="Arial" w:hAnsi="Arial" w:cs="Arial"/>
          <w:sz w:val="20"/>
          <w:szCs w:val="20"/>
          <w:lang w:val="en-US"/>
        </w:rPr>
        <w:t>. This does not mean that HARQ operation needs to be supported.</w:t>
      </w:r>
      <w:r w:rsidR="00B910CA" w:rsidRPr="00D5692A">
        <w:rPr>
          <w:rFonts w:ascii="Arial" w:hAnsi="Arial" w:cs="Arial"/>
          <w:sz w:val="20"/>
          <w:szCs w:val="20"/>
          <w:lang w:val="en-US"/>
        </w:rPr>
        <w:t xml:space="preserve"> </w:t>
      </w:r>
      <w:r w:rsidR="00D5692A">
        <w:rPr>
          <w:rFonts w:ascii="Arial" w:hAnsi="Arial" w:cs="Arial"/>
          <w:sz w:val="20"/>
          <w:szCs w:val="20"/>
          <w:lang w:val="en-US"/>
        </w:rPr>
        <w:t>This can especially benefit command traffic.</w:t>
      </w:r>
    </w:p>
    <w:p w14:paraId="204727E8" w14:textId="639837A4" w:rsidR="001E779A" w:rsidRPr="004C37AE" w:rsidRDefault="001E779A" w:rsidP="00A67966">
      <w:pPr>
        <w:pStyle w:val="ListParagraph"/>
        <w:numPr>
          <w:ilvl w:val="0"/>
          <w:numId w:val="19"/>
        </w:numPr>
        <w:rPr>
          <w:rFonts w:ascii="Arial" w:hAnsi="Arial" w:cs="Arial"/>
          <w:sz w:val="20"/>
          <w:szCs w:val="20"/>
        </w:rPr>
      </w:pPr>
      <w:r w:rsidRPr="004C37AE">
        <w:rPr>
          <w:rFonts w:ascii="Arial" w:hAnsi="Arial" w:cs="Arial"/>
          <w:sz w:val="20"/>
          <w:szCs w:val="20"/>
          <w:lang w:val="en-US"/>
        </w:rPr>
        <w:t xml:space="preserve">Coarse channel quality </w:t>
      </w:r>
      <w:r w:rsidR="005A1A2B" w:rsidRPr="004C37AE">
        <w:rPr>
          <w:rFonts w:ascii="Arial" w:hAnsi="Arial" w:cs="Arial"/>
          <w:sz w:val="20"/>
          <w:szCs w:val="20"/>
          <w:lang w:val="en-US"/>
        </w:rPr>
        <w:t>indication based on PRDCH signal strength</w:t>
      </w:r>
      <w:r w:rsidR="009A19D1">
        <w:rPr>
          <w:rFonts w:ascii="Arial" w:hAnsi="Arial" w:cs="Arial"/>
          <w:sz w:val="20"/>
          <w:szCs w:val="20"/>
          <w:lang w:val="en-US"/>
        </w:rPr>
        <w:t>,</w:t>
      </w:r>
      <w:r w:rsidR="006157D3">
        <w:rPr>
          <w:rFonts w:ascii="Arial" w:hAnsi="Arial" w:cs="Arial"/>
          <w:sz w:val="20"/>
          <w:szCs w:val="20"/>
          <w:lang w:val="en-US"/>
        </w:rPr>
        <w:t xml:space="preserve"> e.g.</w:t>
      </w:r>
      <w:r w:rsidR="009A19D1">
        <w:rPr>
          <w:rFonts w:ascii="Arial" w:hAnsi="Arial" w:cs="Arial"/>
          <w:sz w:val="20"/>
          <w:szCs w:val="20"/>
          <w:lang w:val="en-US"/>
        </w:rPr>
        <w:t>,</w:t>
      </w:r>
      <w:r w:rsidR="006157D3">
        <w:rPr>
          <w:rFonts w:ascii="Arial" w:hAnsi="Arial" w:cs="Arial"/>
          <w:sz w:val="20"/>
          <w:szCs w:val="20"/>
          <w:lang w:val="en-US"/>
        </w:rPr>
        <w:t xml:space="preserve"> a 1-bit information </w:t>
      </w:r>
      <w:r w:rsidR="0069652B">
        <w:rPr>
          <w:rFonts w:ascii="Arial" w:hAnsi="Arial" w:cs="Arial"/>
          <w:sz w:val="20"/>
          <w:szCs w:val="20"/>
          <w:lang w:val="en-US"/>
        </w:rPr>
        <w:t>to indicate if the channel is “good” or “bad”</w:t>
      </w:r>
      <w:r w:rsidR="00C11206">
        <w:rPr>
          <w:rFonts w:ascii="Arial" w:hAnsi="Arial" w:cs="Arial"/>
          <w:sz w:val="20"/>
          <w:szCs w:val="20"/>
          <w:lang w:val="en-US"/>
        </w:rPr>
        <w:t>.</w:t>
      </w:r>
    </w:p>
    <w:p w14:paraId="0315FEC2" w14:textId="52345BAA" w:rsidR="005A1A2B" w:rsidRPr="004C37AE" w:rsidRDefault="001F7FB2" w:rsidP="00A67966">
      <w:pPr>
        <w:pStyle w:val="ListParagraph"/>
        <w:numPr>
          <w:ilvl w:val="0"/>
          <w:numId w:val="19"/>
        </w:numPr>
        <w:rPr>
          <w:rFonts w:ascii="Arial" w:hAnsi="Arial" w:cs="Arial"/>
          <w:sz w:val="20"/>
          <w:szCs w:val="20"/>
        </w:rPr>
      </w:pPr>
      <w:r>
        <w:rPr>
          <w:rFonts w:ascii="Arial" w:hAnsi="Arial" w:cs="Arial"/>
          <w:sz w:val="20"/>
          <w:szCs w:val="20"/>
          <w:lang w:val="en-US"/>
        </w:rPr>
        <w:t>Information</w:t>
      </w:r>
      <w:r w:rsidR="005A1A2B" w:rsidRPr="004C37AE">
        <w:rPr>
          <w:rFonts w:ascii="Arial" w:hAnsi="Arial" w:cs="Arial"/>
          <w:sz w:val="20"/>
          <w:szCs w:val="20"/>
        </w:rPr>
        <w:t xml:space="preserve"> about energy availability </w:t>
      </w:r>
      <w:r w:rsidR="00B86C96" w:rsidRPr="004C37AE">
        <w:rPr>
          <w:rFonts w:ascii="Arial" w:hAnsi="Arial" w:cs="Arial"/>
          <w:sz w:val="20"/>
          <w:szCs w:val="20"/>
          <w:lang w:val="en-US"/>
        </w:rPr>
        <w:t>t</w:t>
      </w:r>
      <w:r w:rsidR="005A1A2B" w:rsidRPr="004C37AE">
        <w:rPr>
          <w:rFonts w:ascii="Arial" w:hAnsi="Arial" w:cs="Arial"/>
          <w:sz w:val="20"/>
          <w:szCs w:val="20"/>
        </w:rPr>
        <w:t>o assist the reader with scheduling and resource allocation</w:t>
      </w:r>
      <w:r w:rsidR="00D5692A">
        <w:rPr>
          <w:rFonts w:ascii="Arial" w:hAnsi="Arial" w:cs="Arial"/>
          <w:sz w:val="20"/>
          <w:szCs w:val="20"/>
          <w:lang w:val="en-US"/>
        </w:rPr>
        <w:t>, for example</w:t>
      </w:r>
      <w:r w:rsidR="00072A7D">
        <w:rPr>
          <w:rFonts w:ascii="Arial" w:hAnsi="Arial" w:cs="Arial"/>
          <w:sz w:val="20"/>
          <w:szCs w:val="20"/>
          <w:lang w:val="en-US"/>
        </w:rPr>
        <w:t>:</w:t>
      </w:r>
    </w:p>
    <w:p w14:paraId="5C2E01B0" w14:textId="3BF4DD12" w:rsidR="00C50896" w:rsidRPr="004C37AE" w:rsidRDefault="00072A7D" w:rsidP="00A67966">
      <w:pPr>
        <w:pStyle w:val="ListParagraph"/>
        <w:numPr>
          <w:ilvl w:val="1"/>
          <w:numId w:val="14"/>
        </w:numPr>
        <w:rPr>
          <w:rFonts w:ascii="Arial" w:hAnsi="Arial" w:cs="Arial"/>
          <w:sz w:val="20"/>
          <w:szCs w:val="20"/>
        </w:rPr>
      </w:pPr>
      <w:r>
        <w:rPr>
          <w:rFonts w:ascii="Arial" w:hAnsi="Arial" w:cs="Arial"/>
          <w:sz w:val="20"/>
          <w:szCs w:val="20"/>
          <w:lang w:val="en-US"/>
        </w:rPr>
        <w:t>Estimated m</w:t>
      </w:r>
      <w:r w:rsidR="005750D0" w:rsidRPr="004C37AE">
        <w:rPr>
          <w:rFonts w:ascii="Arial" w:hAnsi="Arial" w:cs="Arial"/>
          <w:sz w:val="20"/>
          <w:szCs w:val="20"/>
          <w:lang w:val="en-US"/>
        </w:rPr>
        <w:t>aximum n</w:t>
      </w:r>
      <w:r w:rsidR="00C50896" w:rsidRPr="004C37AE">
        <w:rPr>
          <w:rFonts w:ascii="Arial" w:hAnsi="Arial" w:cs="Arial"/>
          <w:sz w:val="20"/>
          <w:szCs w:val="20"/>
          <w:lang w:val="en-US"/>
        </w:rPr>
        <w:t xml:space="preserve">umber of PDRCH transmissions that the device can support before </w:t>
      </w:r>
      <w:r w:rsidR="00B55D10" w:rsidRPr="004C37AE">
        <w:rPr>
          <w:rFonts w:ascii="Arial" w:hAnsi="Arial" w:cs="Arial"/>
          <w:sz w:val="20"/>
          <w:szCs w:val="20"/>
          <w:lang w:val="en-US"/>
        </w:rPr>
        <w:t>requiring</w:t>
      </w:r>
      <w:r w:rsidR="003F198D" w:rsidRPr="004C37AE">
        <w:rPr>
          <w:rFonts w:ascii="Arial" w:hAnsi="Arial" w:cs="Arial"/>
          <w:sz w:val="20"/>
          <w:szCs w:val="20"/>
          <w:lang w:val="en-US"/>
        </w:rPr>
        <w:t xml:space="preserve"> </w:t>
      </w:r>
      <w:r w:rsidR="007116F6" w:rsidRPr="004C37AE">
        <w:rPr>
          <w:rFonts w:ascii="Arial" w:hAnsi="Arial" w:cs="Arial"/>
          <w:sz w:val="20"/>
          <w:szCs w:val="20"/>
          <w:lang w:val="en-US"/>
        </w:rPr>
        <w:t xml:space="preserve">a </w:t>
      </w:r>
      <w:r w:rsidR="003F198D" w:rsidRPr="004C37AE">
        <w:rPr>
          <w:rFonts w:ascii="Arial" w:hAnsi="Arial" w:cs="Arial"/>
          <w:sz w:val="20"/>
          <w:szCs w:val="20"/>
          <w:lang w:val="en-US"/>
        </w:rPr>
        <w:t>recharge</w:t>
      </w:r>
      <w:r w:rsidR="009D4DEE">
        <w:rPr>
          <w:rFonts w:ascii="Arial" w:hAnsi="Arial" w:cs="Arial"/>
          <w:sz w:val="20"/>
          <w:szCs w:val="20"/>
          <w:lang w:val="en-US"/>
        </w:rPr>
        <w:t>.</w:t>
      </w:r>
    </w:p>
    <w:p w14:paraId="7EAA6A73" w14:textId="4E7C6C8A" w:rsidR="005A1A2B" w:rsidRPr="00B02739" w:rsidRDefault="00B55D10" w:rsidP="00A67966">
      <w:pPr>
        <w:pStyle w:val="ListParagraph"/>
        <w:numPr>
          <w:ilvl w:val="1"/>
          <w:numId w:val="14"/>
        </w:numPr>
        <w:rPr>
          <w:rFonts w:cs="Arial"/>
          <w:szCs w:val="20"/>
        </w:rPr>
      </w:pPr>
      <w:r w:rsidRPr="004C37AE">
        <w:rPr>
          <w:rFonts w:ascii="Arial" w:hAnsi="Arial" w:cs="Arial"/>
          <w:sz w:val="20"/>
          <w:szCs w:val="20"/>
          <w:lang w:val="en-US"/>
        </w:rPr>
        <w:t>Estimated t</w:t>
      </w:r>
      <w:r w:rsidR="005A1A2B" w:rsidRPr="004C37AE">
        <w:rPr>
          <w:rFonts w:ascii="Arial" w:hAnsi="Arial" w:cs="Arial"/>
          <w:sz w:val="20"/>
          <w:szCs w:val="20"/>
          <w:lang w:val="en-US"/>
        </w:rPr>
        <w:t>ime taken by the A-IoT device to recharge</w:t>
      </w:r>
      <w:r w:rsidR="003F198D" w:rsidRPr="004C37AE">
        <w:rPr>
          <w:rFonts w:ascii="Arial" w:hAnsi="Arial" w:cs="Arial"/>
          <w:sz w:val="20"/>
          <w:szCs w:val="20"/>
          <w:lang w:val="en-US"/>
        </w:rPr>
        <w:t xml:space="preserve"> </w:t>
      </w:r>
      <w:r w:rsidRPr="004C37AE">
        <w:rPr>
          <w:rFonts w:ascii="Arial" w:hAnsi="Arial" w:cs="Arial"/>
          <w:sz w:val="20"/>
          <w:szCs w:val="20"/>
          <w:lang w:val="en-US"/>
        </w:rPr>
        <w:t>by harvesting energy</w:t>
      </w:r>
      <w:r w:rsidR="00072A7D">
        <w:rPr>
          <w:rFonts w:ascii="Arial" w:hAnsi="Arial" w:cs="Arial"/>
          <w:sz w:val="20"/>
          <w:szCs w:val="20"/>
          <w:lang w:val="en-US"/>
        </w:rPr>
        <w:t xml:space="preserve">. </w:t>
      </w:r>
    </w:p>
    <w:p w14:paraId="50C70E7A" w14:textId="71A18207" w:rsidR="0034632A" w:rsidRDefault="002530D5" w:rsidP="0034632A">
      <w:pPr>
        <w:jc w:val="both"/>
      </w:pPr>
      <w:r>
        <w:br/>
        <w:t>Th</w:t>
      </w:r>
      <w:r w:rsidR="002C0F34">
        <w:t>erefore</w:t>
      </w:r>
      <w:r w:rsidR="0034632A">
        <w:t xml:space="preserve">, we </w:t>
      </w:r>
      <w:r>
        <w:t>have</w:t>
      </w:r>
      <w:r w:rsidR="0034632A">
        <w:t xml:space="preserve"> the following</w:t>
      </w:r>
      <w:r>
        <w:t xml:space="preserve"> observation</w:t>
      </w:r>
      <w:r w:rsidR="002C0F34">
        <w:t>s</w:t>
      </w:r>
      <w:r w:rsidR="005A77FE">
        <w:t>:</w:t>
      </w:r>
    </w:p>
    <w:p w14:paraId="08CE004F" w14:textId="1266301D" w:rsidR="007860A7" w:rsidRDefault="007860A7" w:rsidP="00886B32">
      <w:pPr>
        <w:pStyle w:val="Observation"/>
        <w:spacing w:before="120"/>
        <w:ind w:left="1699" w:hanging="1699"/>
        <w:jc w:val="left"/>
      </w:pPr>
      <w:bookmarkStart w:id="53" w:name="_Toc163064325"/>
      <w:bookmarkStart w:id="54" w:name="_Toc163159896"/>
      <w:bookmarkStart w:id="55" w:name="_Toc163160046"/>
      <w:bookmarkStart w:id="56" w:name="_Toc163160228"/>
      <w:bookmarkStart w:id="57" w:name="_Toc166257150"/>
      <w:bookmarkEnd w:id="53"/>
      <w:bookmarkEnd w:id="54"/>
      <w:bookmarkEnd w:id="55"/>
      <w:bookmarkEnd w:id="56"/>
      <w:r>
        <w:t>PMI and RI will not be needed but a coarse channel quality indicator (e.g.</w:t>
      </w:r>
      <w:r w:rsidR="00835CF4">
        <w:t>, a</w:t>
      </w:r>
      <w:r>
        <w:t xml:space="preserve"> 1-bit indicator</w:t>
      </w:r>
      <w:r w:rsidR="00411B8C">
        <w:t xml:space="preserve"> to qualify the channel as “good” or “bad”</w:t>
      </w:r>
      <w:r>
        <w:t>) can be considered for A-IoT devices.</w:t>
      </w:r>
      <w:bookmarkEnd w:id="57"/>
    </w:p>
    <w:p w14:paraId="68D95587" w14:textId="6B568C98" w:rsidR="003F198D" w:rsidRDefault="00F72C2C" w:rsidP="00886B32">
      <w:pPr>
        <w:pStyle w:val="Observation"/>
        <w:spacing w:before="120"/>
        <w:ind w:left="1699" w:hanging="1699"/>
        <w:jc w:val="left"/>
      </w:pPr>
      <w:bookmarkStart w:id="58" w:name="_Toc166257151"/>
      <w:r>
        <w:t>HARQ</w:t>
      </w:r>
      <w:r w:rsidR="004F3A8F">
        <w:t xml:space="preserve"> operation</w:t>
      </w:r>
      <w:r>
        <w:t xml:space="preserve"> is not supported but a c</w:t>
      </w:r>
      <w:r w:rsidR="00F664FD">
        <w:t>onfirmat</w:t>
      </w:r>
      <w:r w:rsidR="004B3F8F">
        <w:t>ory response</w:t>
      </w:r>
      <w:r w:rsidR="00F664FD">
        <w:t xml:space="preserve"> </w:t>
      </w:r>
      <w:r>
        <w:t>(e.g.</w:t>
      </w:r>
      <w:r w:rsidR="00D00AE4">
        <w:t>,</w:t>
      </w:r>
      <w:r>
        <w:t xml:space="preserve"> using an ACK) </w:t>
      </w:r>
      <w:r w:rsidR="00B94ACE">
        <w:t xml:space="preserve">for </w:t>
      </w:r>
      <w:r>
        <w:t>R2D transmission can be considered</w:t>
      </w:r>
      <w:r w:rsidR="005750D0">
        <w:t>.</w:t>
      </w:r>
      <w:bookmarkEnd w:id="58"/>
      <w:r w:rsidR="000B4F1A">
        <w:t xml:space="preserve"> </w:t>
      </w:r>
    </w:p>
    <w:p w14:paraId="4988258B" w14:textId="740A5A6D" w:rsidR="007860A7" w:rsidRDefault="00A23D26" w:rsidP="00886B32">
      <w:pPr>
        <w:pStyle w:val="Observation"/>
        <w:spacing w:before="120"/>
        <w:ind w:left="1699" w:hanging="1699"/>
        <w:jc w:val="left"/>
      </w:pPr>
      <w:bookmarkStart w:id="59" w:name="_Toc166257152"/>
      <w:r>
        <w:t xml:space="preserve">To assist the reader with scheduling and resource allocation, </w:t>
      </w:r>
      <w:r w:rsidR="00441EB1">
        <w:t>the device can indicate the estimated</w:t>
      </w:r>
      <w:r w:rsidR="007860A7">
        <w:t xml:space="preserve"> number of PDRCH transmissions </w:t>
      </w:r>
      <w:r w:rsidR="00C52465">
        <w:t xml:space="preserve">that can be supported </w:t>
      </w:r>
      <w:r w:rsidR="007860A7">
        <w:t>before requiring a recharge</w:t>
      </w:r>
      <w:r w:rsidR="00DA1BD5">
        <w:t xml:space="preserve"> and the</w:t>
      </w:r>
      <w:r w:rsidR="007860A7">
        <w:t xml:space="preserve"> </w:t>
      </w:r>
      <w:r w:rsidR="00B161C2">
        <w:t xml:space="preserve">estimated </w:t>
      </w:r>
      <w:r w:rsidR="007860A7">
        <w:t>time taken by A-IoT device to recharge</w:t>
      </w:r>
      <w:r w:rsidR="00B161C2">
        <w:t xml:space="preserve"> by harvesting energy</w:t>
      </w:r>
      <w:r w:rsidR="007860A7">
        <w:t>.</w:t>
      </w:r>
      <w:bookmarkEnd w:id="59"/>
      <w:r w:rsidR="007860A7">
        <w:t xml:space="preserve"> </w:t>
      </w:r>
    </w:p>
    <w:p w14:paraId="604606A1" w14:textId="655226B6" w:rsidR="005F639A" w:rsidRDefault="005F639A" w:rsidP="00886B32">
      <w:pPr>
        <w:pStyle w:val="Observation"/>
        <w:spacing w:before="120"/>
        <w:ind w:left="1699" w:hanging="1699"/>
        <w:jc w:val="left"/>
      </w:pPr>
      <w:bookmarkStart w:id="60" w:name="_Toc166257153"/>
      <w:r>
        <w:t xml:space="preserve">Not all D2R </w:t>
      </w:r>
      <w:r w:rsidR="00D5692A">
        <w:t>control information</w:t>
      </w:r>
      <w:r>
        <w:t xml:space="preserve"> needs to be supported by all device types.</w:t>
      </w:r>
      <w:bookmarkEnd w:id="60"/>
    </w:p>
    <w:p w14:paraId="16462236" w14:textId="77AF80E3" w:rsidR="005A1A2B" w:rsidRDefault="005A1A2B" w:rsidP="004C37AE">
      <w:pPr>
        <w:jc w:val="both"/>
      </w:pPr>
      <w:r>
        <w:t>Therefore, w</w:t>
      </w:r>
      <w:r w:rsidR="003F198D">
        <w:t>e propose the following</w:t>
      </w:r>
      <w:r w:rsidR="005A77FE">
        <w:t>:</w:t>
      </w:r>
    </w:p>
    <w:p w14:paraId="7F75A079" w14:textId="457445F9" w:rsidR="00462A5F" w:rsidRDefault="00462A5F" w:rsidP="00886B32">
      <w:pPr>
        <w:pStyle w:val="Proposal"/>
        <w:numPr>
          <w:ilvl w:val="0"/>
          <w:numId w:val="2"/>
        </w:numPr>
        <w:tabs>
          <w:tab w:val="clear" w:pos="1304"/>
        </w:tabs>
        <w:ind w:left="1701" w:hanging="1701"/>
        <w:jc w:val="left"/>
      </w:pPr>
      <w:bookmarkStart w:id="61" w:name="_Toc166257176"/>
      <w:r>
        <w:t xml:space="preserve">RAN1 to discuss the </w:t>
      </w:r>
      <w:r w:rsidR="00F86930">
        <w:t xml:space="preserve">potential </w:t>
      </w:r>
      <w:r w:rsidR="003F198D">
        <w:t>D2R</w:t>
      </w:r>
      <w:r>
        <w:t xml:space="preserve"> control information that </w:t>
      </w:r>
      <w:r w:rsidR="00147971">
        <w:t>needs to</w:t>
      </w:r>
      <w:r>
        <w:t xml:space="preserve"> be transmitted </w:t>
      </w:r>
      <w:r w:rsidR="00147971">
        <w:t>for each</w:t>
      </w:r>
      <w:r>
        <w:t xml:space="preserve"> A-IoT device</w:t>
      </w:r>
      <w:r w:rsidR="00147971">
        <w:t xml:space="preserve"> type</w:t>
      </w:r>
      <w:r>
        <w:t>.</w:t>
      </w:r>
      <w:bookmarkEnd w:id="61"/>
    </w:p>
    <w:p w14:paraId="2B40B193" w14:textId="22A796B8" w:rsidR="00177DBC" w:rsidRDefault="00853FCB" w:rsidP="004C37AE">
      <w:pPr>
        <w:jc w:val="both"/>
      </w:pPr>
      <w:r>
        <w:t>Our view is that a dedicated uplink control channel may not be needed for A-IoT devices</w:t>
      </w:r>
      <w:r w:rsidR="0049796E">
        <w:t xml:space="preserve">, i.e., </w:t>
      </w:r>
      <w:r w:rsidR="00F86930">
        <w:t>D2R</w:t>
      </w:r>
      <w:r w:rsidR="0049796E">
        <w:t xml:space="preserve"> </w:t>
      </w:r>
      <w:r w:rsidR="00F86930">
        <w:t xml:space="preserve">control information </w:t>
      </w:r>
      <w:r w:rsidR="0049796E">
        <w:t>can be transmitted on PDRCH</w:t>
      </w:r>
      <w:r w:rsidR="00432D66">
        <w:t>.</w:t>
      </w:r>
      <w:r w:rsidR="00BE02C2">
        <w:t xml:space="preserve"> </w:t>
      </w:r>
      <w:r w:rsidR="00556C66">
        <w:t>This will be similar to</w:t>
      </w:r>
      <w:r w:rsidR="00BE02C2">
        <w:t xml:space="preserve"> NB-IoT</w:t>
      </w:r>
      <w:r w:rsidR="00556C66">
        <w:t xml:space="preserve"> where</w:t>
      </w:r>
      <w:r w:rsidR="00BE02C2">
        <w:t xml:space="preserve"> the</w:t>
      </w:r>
      <w:r w:rsidR="00A37E06">
        <w:t xml:space="preserve"> uplink control information is carried by NPUSCH as there </w:t>
      </w:r>
      <w:r w:rsidR="00BE02C2">
        <w:t xml:space="preserve">is no dedicated </w:t>
      </w:r>
      <w:r w:rsidR="00B70D3C">
        <w:t xml:space="preserve">uplink </w:t>
      </w:r>
      <w:r w:rsidR="00BE02C2">
        <w:t>control channel.</w:t>
      </w:r>
    </w:p>
    <w:p w14:paraId="48830821" w14:textId="27FBD91A" w:rsidR="00314F4E" w:rsidRDefault="007116F6" w:rsidP="005F2C27">
      <w:pPr>
        <w:pStyle w:val="Proposal"/>
        <w:numPr>
          <w:ilvl w:val="0"/>
          <w:numId w:val="2"/>
        </w:numPr>
        <w:tabs>
          <w:tab w:val="clear" w:pos="1304"/>
        </w:tabs>
        <w:ind w:left="1701" w:hanging="1701"/>
      </w:pPr>
      <w:bookmarkStart w:id="62" w:name="_Toc166257177"/>
      <w:r>
        <w:t>D2R</w:t>
      </w:r>
      <w:r w:rsidR="00314F4E">
        <w:t xml:space="preserve"> control information </w:t>
      </w:r>
      <w:r w:rsidR="00D82E1B">
        <w:t>transmitted by A-IoT devices can</w:t>
      </w:r>
      <w:r w:rsidR="00314F4E">
        <w:t xml:space="preserve"> be </w:t>
      </w:r>
      <w:r w:rsidR="00D82E1B">
        <w:t>carried by PDRCH</w:t>
      </w:r>
      <w:r w:rsidR="00314F4E">
        <w:t>.</w:t>
      </w:r>
      <w:bookmarkEnd w:id="62"/>
    </w:p>
    <w:p w14:paraId="152F3611" w14:textId="0855EDCE" w:rsidR="00364480" w:rsidRDefault="00364480" w:rsidP="00B72E23">
      <w:pPr>
        <w:pStyle w:val="Heading1"/>
        <w:numPr>
          <w:ilvl w:val="0"/>
          <w:numId w:val="16"/>
        </w:numPr>
        <w:jc w:val="both"/>
        <w:rPr>
          <w:lang w:val="en-US"/>
        </w:rPr>
      </w:pPr>
      <w:bookmarkStart w:id="63" w:name="_Toc163062071"/>
      <w:bookmarkStart w:id="64" w:name="_Toc163062072"/>
      <w:bookmarkStart w:id="65" w:name="OLE_LINK22"/>
      <w:bookmarkEnd w:id="63"/>
      <w:bookmarkEnd w:id="64"/>
      <w:r>
        <w:rPr>
          <w:lang w:val="en-US"/>
        </w:rPr>
        <w:t>TB</w:t>
      </w:r>
      <w:r w:rsidR="004A79FF">
        <w:rPr>
          <w:lang w:val="en-US"/>
        </w:rPr>
        <w:t xml:space="preserve"> </w:t>
      </w:r>
      <w:r w:rsidR="00513184">
        <w:rPr>
          <w:lang w:val="en-US"/>
        </w:rPr>
        <w:t>s</w:t>
      </w:r>
      <w:r w:rsidR="004A79FF">
        <w:rPr>
          <w:lang w:val="en-US"/>
        </w:rPr>
        <w:t>ize</w:t>
      </w:r>
    </w:p>
    <w:p w14:paraId="045B2E91" w14:textId="31B04FAB" w:rsidR="00AD652B" w:rsidRDefault="00C060E3" w:rsidP="00520A9C">
      <w:pPr>
        <w:jc w:val="both"/>
        <w:rPr>
          <w:rFonts w:eastAsia="Microsoft YaHei" w:cs="Arial"/>
          <w:lang w:eastAsia="zh-CN"/>
        </w:rPr>
      </w:pPr>
      <w:r w:rsidRPr="005A6C41">
        <w:rPr>
          <w:rFonts w:eastAsia="Microsoft YaHei" w:cs="Arial"/>
          <w:lang w:eastAsia="zh-CN"/>
        </w:rPr>
        <w:t xml:space="preserve">The maximum </w:t>
      </w:r>
      <w:r w:rsidR="007E23E9">
        <w:rPr>
          <w:rFonts w:eastAsia="Microsoft YaHei" w:cs="Arial"/>
          <w:lang w:eastAsia="zh-CN"/>
        </w:rPr>
        <w:t>message</w:t>
      </w:r>
      <w:r w:rsidRPr="005A6C41">
        <w:rPr>
          <w:rFonts w:eastAsia="Microsoft YaHei" w:cs="Arial"/>
          <w:lang w:eastAsia="zh-CN"/>
        </w:rPr>
        <w:t xml:space="preserve"> size</w:t>
      </w:r>
      <w:r w:rsidR="00261E55" w:rsidRPr="005A6C41">
        <w:rPr>
          <w:rFonts w:eastAsia="Microsoft YaHei" w:cs="Arial"/>
          <w:lang w:eastAsia="zh-CN"/>
        </w:rPr>
        <w:t xml:space="preserve"> </w:t>
      </w:r>
      <w:r w:rsidRPr="005A6C41">
        <w:rPr>
          <w:rFonts w:eastAsia="Microsoft YaHei" w:cs="Arial"/>
          <w:lang w:eastAsia="zh-CN"/>
        </w:rPr>
        <w:t>considered in this study is 1000 bits</w:t>
      </w:r>
      <w:r w:rsidR="007E23E9">
        <w:rPr>
          <w:rFonts w:eastAsia="Microsoft YaHei" w:cs="Arial"/>
          <w:lang w:eastAsia="zh-CN"/>
        </w:rPr>
        <w:t xml:space="preserve"> </w:t>
      </w:r>
      <w:r w:rsidR="007E23E9">
        <w:rPr>
          <w:rFonts w:eastAsia="Microsoft YaHei" w:cs="Arial"/>
          <w:lang w:eastAsia="zh-CN"/>
        </w:rPr>
        <w:fldChar w:fldCharType="begin"/>
      </w:r>
      <w:r w:rsidR="007E23E9">
        <w:rPr>
          <w:rFonts w:eastAsia="Microsoft YaHei" w:cs="Arial"/>
          <w:lang w:eastAsia="zh-CN"/>
        </w:rPr>
        <w:instrText xml:space="preserve"> REF _Ref161349949 \r \h </w:instrText>
      </w:r>
      <w:r w:rsidR="007E23E9">
        <w:rPr>
          <w:rFonts w:eastAsia="Microsoft YaHei" w:cs="Arial"/>
          <w:lang w:eastAsia="zh-CN"/>
        </w:rPr>
      </w:r>
      <w:r w:rsidR="007E23E9">
        <w:rPr>
          <w:rFonts w:eastAsia="Microsoft YaHei" w:cs="Arial"/>
          <w:lang w:eastAsia="zh-CN"/>
        </w:rPr>
        <w:fldChar w:fldCharType="separate"/>
      </w:r>
      <w:r w:rsidR="00846B4E">
        <w:rPr>
          <w:rFonts w:eastAsia="Microsoft YaHei" w:cs="Arial"/>
          <w:lang w:eastAsia="zh-CN"/>
        </w:rPr>
        <w:t>[4]</w:t>
      </w:r>
      <w:r w:rsidR="007E23E9">
        <w:rPr>
          <w:rFonts w:eastAsia="Microsoft YaHei" w:cs="Arial"/>
          <w:lang w:eastAsia="zh-CN"/>
        </w:rPr>
        <w:fldChar w:fldCharType="end"/>
      </w:r>
      <w:r w:rsidRPr="005A6C41">
        <w:rPr>
          <w:rFonts w:eastAsia="Microsoft YaHei" w:cs="Arial"/>
          <w:lang w:eastAsia="zh-CN"/>
        </w:rPr>
        <w:t xml:space="preserve">. </w:t>
      </w:r>
      <w:r w:rsidR="00602385" w:rsidRPr="005A6C41">
        <w:rPr>
          <w:rFonts w:eastAsia="Microsoft YaHei" w:cs="Arial"/>
          <w:lang w:eastAsia="zh-CN"/>
        </w:rPr>
        <w:t>T</w:t>
      </w:r>
      <w:r w:rsidRPr="005A6C41">
        <w:rPr>
          <w:rFonts w:eastAsia="Microsoft YaHei" w:cs="Arial"/>
          <w:lang w:eastAsia="zh-CN"/>
        </w:rPr>
        <w:t xml:space="preserve">he </w:t>
      </w:r>
      <w:r w:rsidR="00843092">
        <w:rPr>
          <w:rFonts w:eastAsia="Microsoft YaHei" w:cs="Arial"/>
          <w:lang w:eastAsia="zh-CN"/>
        </w:rPr>
        <w:t>message size</w:t>
      </w:r>
      <w:r w:rsidRPr="005A6C41">
        <w:rPr>
          <w:rFonts w:eastAsia="Microsoft YaHei" w:cs="Arial"/>
          <w:lang w:eastAsia="zh-CN"/>
        </w:rPr>
        <w:t xml:space="preserve"> can vary depending on the</w:t>
      </w:r>
      <w:r w:rsidR="00261E55" w:rsidRPr="005A6C41">
        <w:rPr>
          <w:rFonts w:eastAsia="Microsoft YaHei" w:cs="Arial"/>
          <w:lang w:eastAsia="zh-CN"/>
        </w:rPr>
        <w:t xml:space="preserve"> </w:t>
      </w:r>
      <w:r w:rsidR="00110E58" w:rsidRPr="005A6C41">
        <w:rPr>
          <w:rFonts w:eastAsia="Microsoft YaHei" w:cs="Arial"/>
          <w:lang w:eastAsia="zh-CN"/>
        </w:rPr>
        <w:t>use case</w:t>
      </w:r>
      <w:r w:rsidR="002859AF" w:rsidRPr="005A6C41">
        <w:rPr>
          <w:rFonts w:eastAsia="Microsoft YaHei" w:cs="Arial"/>
          <w:lang w:eastAsia="zh-CN"/>
        </w:rPr>
        <w:t xml:space="preserve">. </w:t>
      </w:r>
      <w:r w:rsidR="005B2C70">
        <w:rPr>
          <w:rFonts w:eastAsia="Microsoft YaHei" w:cs="Arial"/>
          <w:lang w:eastAsia="zh-CN"/>
        </w:rPr>
        <w:t xml:space="preserve">For example, </w:t>
      </w:r>
      <w:r w:rsidR="002859AF" w:rsidRPr="005A6C41">
        <w:rPr>
          <w:rFonts w:eastAsia="Microsoft YaHei" w:cs="Arial"/>
          <w:lang w:eastAsia="zh-CN"/>
        </w:rPr>
        <w:t xml:space="preserve">inventory may </w:t>
      </w:r>
      <w:r w:rsidR="00D44839" w:rsidRPr="005A6C41">
        <w:rPr>
          <w:rFonts w:eastAsia="Microsoft YaHei" w:cs="Arial"/>
          <w:lang w:eastAsia="zh-CN"/>
        </w:rPr>
        <w:t xml:space="preserve">require a </w:t>
      </w:r>
      <w:r w:rsidR="00F86E28">
        <w:rPr>
          <w:rFonts w:eastAsia="Microsoft YaHei" w:cs="Arial"/>
          <w:lang w:eastAsia="zh-CN"/>
        </w:rPr>
        <w:t xml:space="preserve">larger UL message size but a </w:t>
      </w:r>
      <w:r w:rsidR="00D44839" w:rsidRPr="005A6C41">
        <w:rPr>
          <w:rFonts w:eastAsia="Microsoft YaHei" w:cs="Arial"/>
          <w:lang w:eastAsia="zh-CN"/>
        </w:rPr>
        <w:t xml:space="preserve">smaller </w:t>
      </w:r>
      <w:r w:rsidR="00DC2438">
        <w:rPr>
          <w:rFonts w:eastAsia="Microsoft YaHei" w:cs="Arial"/>
          <w:lang w:eastAsia="zh-CN"/>
        </w:rPr>
        <w:t xml:space="preserve">DL </w:t>
      </w:r>
      <w:r w:rsidR="00843092">
        <w:rPr>
          <w:rFonts w:eastAsia="Microsoft YaHei" w:cs="Arial"/>
          <w:lang w:eastAsia="zh-CN"/>
        </w:rPr>
        <w:t xml:space="preserve">message </w:t>
      </w:r>
      <w:r w:rsidR="00843092">
        <w:rPr>
          <w:rFonts w:eastAsia="Microsoft YaHei" w:cs="Arial"/>
          <w:lang w:eastAsia="zh-CN"/>
        </w:rPr>
        <w:lastRenderedPageBreak/>
        <w:t>size</w:t>
      </w:r>
      <w:r w:rsidR="00D44839" w:rsidRPr="005A6C41">
        <w:rPr>
          <w:rFonts w:eastAsia="Microsoft YaHei" w:cs="Arial"/>
          <w:lang w:eastAsia="zh-CN"/>
        </w:rPr>
        <w:t xml:space="preserve"> than </w:t>
      </w:r>
      <w:r w:rsidR="00DC2438">
        <w:rPr>
          <w:rFonts w:eastAsia="Microsoft YaHei" w:cs="Arial"/>
          <w:lang w:eastAsia="zh-CN"/>
        </w:rPr>
        <w:t xml:space="preserve">DL </w:t>
      </w:r>
      <w:r w:rsidR="00D44839" w:rsidRPr="005A6C41">
        <w:rPr>
          <w:rFonts w:eastAsia="Microsoft YaHei" w:cs="Arial"/>
          <w:lang w:eastAsia="zh-CN"/>
        </w:rPr>
        <w:t>command</w:t>
      </w:r>
      <w:r w:rsidRPr="005A6C41">
        <w:rPr>
          <w:rFonts w:eastAsia="Microsoft YaHei" w:cs="Arial"/>
          <w:lang w:eastAsia="zh-CN"/>
        </w:rPr>
        <w:t>.</w:t>
      </w:r>
      <w:r w:rsidR="00FA33E2">
        <w:rPr>
          <w:rFonts w:eastAsia="Microsoft YaHei" w:cs="Arial"/>
          <w:lang w:eastAsia="zh-CN"/>
        </w:rPr>
        <w:t xml:space="preserve"> </w:t>
      </w:r>
      <w:r w:rsidR="006714F3">
        <w:rPr>
          <w:rFonts w:eastAsia="Microsoft YaHei" w:cs="Arial"/>
          <w:lang w:eastAsia="zh-CN"/>
        </w:rPr>
        <w:t>In our RAN2 contribution</w:t>
      </w:r>
      <w:r w:rsidR="00732660">
        <w:rPr>
          <w:rFonts w:eastAsia="Microsoft YaHei" w:cs="Arial"/>
          <w:lang w:eastAsia="zh-CN"/>
        </w:rPr>
        <w:t xml:space="preserve"> </w:t>
      </w:r>
      <w:r w:rsidR="00546E10">
        <w:rPr>
          <w:rFonts w:eastAsia="Microsoft YaHei" w:cs="Arial"/>
          <w:lang w:eastAsia="zh-CN"/>
        </w:rPr>
        <w:fldChar w:fldCharType="begin"/>
      </w:r>
      <w:r w:rsidR="00546E10">
        <w:rPr>
          <w:rFonts w:eastAsia="Microsoft YaHei" w:cs="Arial"/>
          <w:lang w:eastAsia="zh-CN"/>
        </w:rPr>
        <w:instrText xml:space="preserve"> REF _Ref166059390 \r \h </w:instrText>
      </w:r>
      <w:r w:rsidR="00546E10">
        <w:rPr>
          <w:rFonts w:eastAsia="Microsoft YaHei" w:cs="Arial"/>
          <w:lang w:eastAsia="zh-CN"/>
        </w:rPr>
      </w:r>
      <w:r w:rsidR="00546E10">
        <w:rPr>
          <w:rFonts w:eastAsia="Microsoft YaHei" w:cs="Arial"/>
          <w:lang w:eastAsia="zh-CN"/>
        </w:rPr>
        <w:fldChar w:fldCharType="separate"/>
      </w:r>
      <w:r w:rsidR="00846B4E">
        <w:rPr>
          <w:rFonts w:eastAsia="Microsoft YaHei" w:cs="Arial"/>
          <w:lang w:eastAsia="zh-CN"/>
        </w:rPr>
        <w:t>[5]</w:t>
      </w:r>
      <w:r w:rsidR="00546E10">
        <w:rPr>
          <w:rFonts w:eastAsia="Microsoft YaHei" w:cs="Arial"/>
          <w:lang w:eastAsia="zh-CN"/>
        </w:rPr>
        <w:fldChar w:fldCharType="end"/>
      </w:r>
      <w:r w:rsidR="006714F3">
        <w:rPr>
          <w:rFonts w:eastAsia="Microsoft YaHei" w:cs="Arial"/>
          <w:lang w:eastAsia="zh-CN"/>
        </w:rPr>
        <w:t xml:space="preserve">, </w:t>
      </w:r>
      <w:r w:rsidR="00CE3450">
        <w:rPr>
          <w:rFonts w:eastAsia="Microsoft YaHei" w:cs="Arial"/>
          <w:lang w:eastAsia="zh-CN"/>
        </w:rPr>
        <w:t xml:space="preserve">we </w:t>
      </w:r>
      <w:r w:rsidR="00B34D57">
        <w:rPr>
          <w:rFonts w:eastAsia="Microsoft YaHei" w:cs="Arial"/>
          <w:lang w:eastAsia="zh-CN"/>
        </w:rPr>
        <w:t>make initial estimates</w:t>
      </w:r>
      <w:r w:rsidR="001C2D82">
        <w:rPr>
          <w:rFonts w:eastAsia="Microsoft YaHei" w:cs="Arial"/>
          <w:lang w:eastAsia="zh-CN"/>
        </w:rPr>
        <w:t xml:space="preserve"> of the</w:t>
      </w:r>
      <w:r w:rsidR="00732660">
        <w:rPr>
          <w:rFonts w:eastAsia="Microsoft YaHei" w:cs="Arial"/>
          <w:lang w:eastAsia="zh-CN"/>
        </w:rPr>
        <w:t xml:space="preserve"> </w:t>
      </w:r>
      <w:r w:rsidR="00AA2656">
        <w:rPr>
          <w:rFonts w:eastAsia="Microsoft YaHei" w:cs="Arial"/>
          <w:lang w:eastAsia="zh-CN"/>
        </w:rPr>
        <w:t>message size</w:t>
      </w:r>
      <w:r w:rsidR="00732660">
        <w:rPr>
          <w:rFonts w:eastAsia="Microsoft YaHei" w:cs="Arial"/>
          <w:lang w:eastAsia="zh-CN"/>
        </w:rPr>
        <w:t xml:space="preserve"> </w:t>
      </w:r>
      <w:r w:rsidR="009E5DA2">
        <w:rPr>
          <w:rFonts w:eastAsia="Microsoft YaHei" w:cs="Arial"/>
          <w:lang w:eastAsia="zh-CN"/>
        </w:rPr>
        <w:t xml:space="preserve">required </w:t>
      </w:r>
      <w:r w:rsidR="00732660">
        <w:rPr>
          <w:rFonts w:eastAsia="Microsoft YaHei" w:cs="Arial"/>
          <w:lang w:eastAsia="zh-CN"/>
        </w:rPr>
        <w:t xml:space="preserve">for </w:t>
      </w:r>
      <w:r w:rsidR="00DB5994">
        <w:rPr>
          <w:rFonts w:eastAsia="Microsoft YaHei" w:cs="Arial"/>
          <w:lang w:eastAsia="zh-CN"/>
        </w:rPr>
        <w:t>the</w:t>
      </w:r>
      <w:r w:rsidR="00732660">
        <w:rPr>
          <w:rFonts w:eastAsia="Microsoft YaHei" w:cs="Arial"/>
          <w:lang w:eastAsia="zh-CN"/>
        </w:rPr>
        <w:t xml:space="preserve"> inventory and DL command use cases</w:t>
      </w:r>
      <w:r w:rsidR="00DB5994">
        <w:rPr>
          <w:rFonts w:eastAsia="Microsoft YaHei" w:cs="Arial"/>
          <w:lang w:eastAsia="zh-CN"/>
        </w:rPr>
        <w:t>:</w:t>
      </w:r>
    </w:p>
    <w:p w14:paraId="178FF9C1" w14:textId="479002DA" w:rsidR="00AD652B" w:rsidRDefault="00522878" w:rsidP="0004084D">
      <w:pPr>
        <w:pStyle w:val="Observation"/>
        <w:spacing w:before="120"/>
        <w:ind w:left="1699" w:hanging="1699"/>
        <w:jc w:val="left"/>
      </w:pPr>
      <w:bookmarkStart w:id="66" w:name="_Toc166257154"/>
      <w:r>
        <w:t xml:space="preserve">UL </w:t>
      </w:r>
      <w:r w:rsidR="00AA2656">
        <w:t>message size</w:t>
      </w:r>
      <w:r w:rsidR="00605254">
        <w:t xml:space="preserve"> for inventory reporting is in the range of </w:t>
      </w:r>
      <w:r w:rsidR="0003385B">
        <w:t>144-408 bits assuming the application-level device ID (EPC</w:t>
      </w:r>
      <w:r w:rsidR="00007DD3">
        <w:t>-like ID) of 96-256 bits.</w:t>
      </w:r>
      <w:bookmarkEnd w:id="66"/>
    </w:p>
    <w:p w14:paraId="1F5CAC1C" w14:textId="074286A9" w:rsidR="00022D86" w:rsidRDefault="00D26727" w:rsidP="0004084D">
      <w:pPr>
        <w:pStyle w:val="Observation"/>
        <w:spacing w:before="120"/>
        <w:ind w:left="1699" w:hanging="1699"/>
        <w:jc w:val="left"/>
      </w:pPr>
      <w:bookmarkStart w:id="67" w:name="_Toc166257155"/>
      <w:r>
        <w:t>D</w:t>
      </w:r>
      <w:r w:rsidR="00522878">
        <w:t xml:space="preserve">L </w:t>
      </w:r>
      <w:r w:rsidR="00AA2656">
        <w:t>message size</w:t>
      </w:r>
      <w:r w:rsidR="00022D86">
        <w:t xml:space="preserve"> for command use case can be up to 944 bits assuming a 100</w:t>
      </w:r>
      <w:r w:rsidR="00C525DA">
        <w:t>-</w:t>
      </w:r>
      <w:r w:rsidR="00022D86">
        <w:t xml:space="preserve">byte </w:t>
      </w:r>
      <w:r w:rsidR="00C525DA">
        <w:t>D</w:t>
      </w:r>
      <w:r w:rsidR="00022D86">
        <w:t xml:space="preserve">L </w:t>
      </w:r>
      <w:r w:rsidR="00C525DA">
        <w:t>command</w:t>
      </w:r>
      <w:r w:rsidR="00022D86">
        <w:t>.</w:t>
      </w:r>
      <w:bookmarkEnd w:id="67"/>
    </w:p>
    <w:p w14:paraId="4349A948" w14:textId="58CAB3C9" w:rsidR="0092212D" w:rsidRDefault="004A129C" w:rsidP="00520A9C">
      <w:pPr>
        <w:jc w:val="both"/>
      </w:pPr>
      <w:r>
        <w:rPr>
          <w:rFonts w:eastAsia="Microsoft YaHei" w:cs="Arial"/>
          <w:lang w:eastAsia="zh-CN"/>
        </w:rPr>
        <w:t xml:space="preserve">If </w:t>
      </w:r>
      <w:r w:rsidR="00A758D6">
        <w:rPr>
          <w:rFonts w:eastAsia="Microsoft YaHei" w:cs="Arial"/>
          <w:lang w:eastAsia="zh-CN"/>
        </w:rPr>
        <w:t xml:space="preserve">the coverage evaluation (under agenda item 9.4.1.1) concludes that </w:t>
      </w:r>
      <w:r w:rsidR="006E3E78">
        <w:rPr>
          <w:rFonts w:eastAsia="Microsoft YaHei" w:cs="Arial"/>
          <w:lang w:eastAsia="zh-CN"/>
        </w:rPr>
        <w:t>it would be too challenging to transmit the entire message in a single transport block</w:t>
      </w:r>
      <w:r w:rsidR="00C347FD">
        <w:rPr>
          <w:rFonts w:eastAsia="Microsoft YaHei" w:cs="Arial"/>
          <w:lang w:eastAsia="zh-CN"/>
        </w:rPr>
        <w:t xml:space="preserve"> (TB)</w:t>
      </w:r>
      <w:r w:rsidR="00B82DF0">
        <w:rPr>
          <w:rFonts w:eastAsia="Microsoft YaHei" w:cs="Arial"/>
          <w:lang w:eastAsia="zh-CN"/>
        </w:rPr>
        <w:t xml:space="preserve">, </w:t>
      </w:r>
      <w:r w:rsidR="00435A45">
        <w:rPr>
          <w:rFonts w:eastAsia="Microsoft YaHei" w:cs="Arial"/>
          <w:lang w:eastAsia="zh-CN"/>
        </w:rPr>
        <w:t xml:space="preserve">which may especially be the case if transmissions are </w:t>
      </w:r>
      <w:r w:rsidR="00E41611">
        <w:rPr>
          <w:rFonts w:eastAsia="Microsoft YaHei" w:cs="Arial"/>
          <w:lang w:eastAsia="zh-CN"/>
        </w:rPr>
        <w:t xml:space="preserve">done without much redundancy, </w:t>
      </w:r>
      <w:r w:rsidR="00B82DF0">
        <w:rPr>
          <w:rFonts w:eastAsia="Microsoft YaHei" w:cs="Arial"/>
          <w:lang w:eastAsia="zh-CN"/>
        </w:rPr>
        <w:t xml:space="preserve">segmentation into multiple </w:t>
      </w:r>
      <w:r w:rsidR="00C347FD">
        <w:rPr>
          <w:rFonts w:eastAsia="Microsoft YaHei" w:cs="Arial"/>
          <w:lang w:eastAsia="zh-CN"/>
        </w:rPr>
        <w:t xml:space="preserve">smaller </w:t>
      </w:r>
      <w:r w:rsidR="00B82DF0">
        <w:rPr>
          <w:rFonts w:eastAsia="Microsoft YaHei" w:cs="Arial"/>
          <w:lang w:eastAsia="zh-CN"/>
        </w:rPr>
        <w:t xml:space="preserve">transport blocks can be </w:t>
      </w:r>
      <w:r w:rsidR="00C347FD">
        <w:rPr>
          <w:rFonts w:eastAsia="Microsoft YaHei" w:cs="Arial"/>
          <w:lang w:eastAsia="zh-CN"/>
        </w:rPr>
        <w:t>considered.</w:t>
      </w:r>
    </w:p>
    <w:p w14:paraId="7E8DCE51" w14:textId="6E9D9804" w:rsidR="005457BC" w:rsidRDefault="008F3E7F" w:rsidP="0004084D">
      <w:pPr>
        <w:pStyle w:val="Observation"/>
        <w:spacing w:before="120"/>
        <w:ind w:left="1699" w:hanging="1699"/>
        <w:jc w:val="left"/>
      </w:pPr>
      <w:bookmarkStart w:id="68" w:name="_Toc166257156"/>
      <w:r>
        <w:t xml:space="preserve">The maximum </w:t>
      </w:r>
      <w:r w:rsidR="00885400">
        <w:t xml:space="preserve">TB size will depend on whether messages </w:t>
      </w:r>
      <w:r w:rsidR="00C045A2">
        <w:t>can be</w:t>
      </w:r>
      <w:r w:rsidR="00885400">
        <w:t xml:space="preserve"> segmented into multiple </w:t>
      </w:r>
      <w:r w:rsidR="00C045A2">
        <w:t>smaller transport blocks</w:t>
      </w:r>
      <w:r w:rsidR="00885400">
        <w:t xml:space="preserve"> or not</w:t>
      </w:r>
      <w:r w:rsidR="005457BC">
        <w:t>.</w:t>
      </w:r>
      <w:bookmarkEnd w:id="68"/>
    </w:p>
    <w:p w14:paraId="2FACE457" w14:textId="6574A39E" w:rsidR="00F514F2" w:rsidRDefault="00A11324" w:rsidP="00520A9C">
      <w:pPr>
        <w:jc w:val="both"/>
        <w:rPr>
          <w:rFonts w:eastAsia="Malgun Gothic" w:cs="Calibri"/>
        </w:rPr>
      </w:pPr>
      <w:r>
        <w:t xml:space="preserve">The discussion on the TB sizes can be postponed until </w:t>
      </w:r>
      <w:r w:rsidR="00A4154D">
        <w:t xml:space="preserve">there is </w:t>
      </w:r>
      <w:r>
        <w:t xml:space="preserve">more progress </w:t>
      </w:r>
      <w:r w:rsidR="00734FB2">
        <w:t>on</w:t>
      </w:r>
      <w:r>
        <w:t xml:space="preserve"> </w:t>
      </w:r>
      <w:r w:rsidR="00546E10">
        <w:t>coverage evaluation</w:t>
      </w:r>
      <w:r w:rsidR="00734FB2">
        <w:t>.</w:t>
      </w:r>
    </w:p>
    <w:p w14:paraId="34B88C28" w14:textId="46B5E38D" w:rsidR="00E50006" w:rsidRDefault="00E50006" w:rsidP="00E50006">
      <w:pPr>
        <w:pStyle w:val="Proposal"/>
        <w:numPr>
          <w:ilvl w:val="0"/>
          <w:numId w:val="2"/>
        </w:numPr>
        <w:tabs>
          <w:tab w:val="clear" w:pos="1304"/>
        </w:tabs>
        <w:ind w:left="1701" w:hanging="1701"/>
        <w:jc w:val="left"/>
      </w:pPr>
      <w:bookmarkStart w:id="69" w:name="_Toc166257178"/>
      <w:r>
        <w:t>RAN1 to wait for coverage evaluation results before discussing</w:t>
      </w:r>
      <w:r w:rsidR="0086149A">
        <w:t xml:space="preserve"> the</w:t>
      </w:r>
      <w:r>
        <w:t xml:space="preserve"> </w:t>
      </w:r>
      <w:r w:rsidR="00734FB2">
        <w:t>po</w:t>
      </w:r>
      <w:r w:rsidR="00C23177">
        <w:t>ssible values for</w:t>
      </w:r>
      <w:r>
        <w:t xml:space="preserve"> TB</w:t>
      </w:r>
      <w:r w:rsidR="00A4154D">
        <w:t xml:space="preserve"> size</w:t>
      </w:r>
      <w:r>
        <w:t>.</w:t>
      </w:r>
      <w:bookmarkEnd w:id="69"/>
    </w:p>
    <w:p w14:paraId="49E244A0" w14:textId="79F8446B" w:rsidR="001936E3" w:rsidRDefault="008413D0" w:rsidP="00B72E23">
      <w:pPr>
        <w:pStyle w:val="Heading1"/>
        <w:numPr>
          <w:ilvl w:val="0"/>
          <w:numId w:val="16"/>
        </w:numPr>
        <w:jc w:val="both"/>
        <w:rPr>
          <w:lang w:val="en-US"/>
        </w:rPr>
      </w:pPr>
      <w:r>
        <w:rPr>
          <w:lang w:val="en-US" w:eastAsia="zh-CN"/>
        </w:rPr>
        <w:t>P</w:t>
      </w:r>
      <w:r w:rsidR="0043346D">
        <w:rPr>
          <w:lang w:val="en-US" w:eastAsia="zh-CN"/>
        </w:rPr>
        <w:t>roximity</w:t>
      </w:r>
      <w:r w:rsidR="0043346D">
        <w:rPr>
          <w:lang w:val="en-US"/>
        </w:rPr>
        <w:t xml:space="preserve"> determination</w:t>
      </w:r>
      <w:bookmarkEnd w:id="65"/>
    </w:p>
    <w:p w14:paraId="2E07B4DA" w14:textId="7CDEFB83" w:rsidR="00E45DBA" w:rsidRDefault="00E45DBA" w:rsidP="003B02E9">
      <w:pPr>
        <w:jc w:val="both"/>
        <w:rPr>
          <w:lang w:val="en-GB" w:eastAsia="ja-JP"/>
        </w:rPr>
      </w:pPr>
      <w:bookmarkStart w:id="70" w:name="_Hlk162257931"/>
      <w:r>
        <w:rPr>
          <w:lang w:val="en-GB" w:eastAsia="ja-JP"/>
        </w:rPr>
        <w:t xml:space="preserve">Definition of </w:t>
      </w:r>
      <w:r>
        <w:t xml:space="preserve">proximity determination was clarified in RAN#103 </w:t>
      </w:r>
      <w:r w:rsidR="00BF5ED9">
        <w:t xml:space="preserve">[1] and </w:t>
      </w:r>
      <w:r w:rsidR="000A31F1">
        <w:t xml:space="preserve">is </w:t>
      </w:r>
      <w:r w:rsidR="00BF5ED9">
        <w:t xml:space="preserve">copied below. </w:t>
      </w:r>
      <w:r w:rsidR="00670D59">
        <w:t xml:space="preserve">This is </w:t>
      </w:r>
      <w:r w:rsidR="00FF7929">
        <w:t xml:space="preserve">for </w:t>
      </w:r>
      <w:r w:rsidR="00670D59">
        <w:t xml:space="preserve">the distance between an Ambient IoT reader and a device. </w:t>
      </w:r>
      <w:r w:rsidR="00712508">
        <w:rPr>
          <w:rFonts w:eastAsia="SimSun"/>
          <w:lang w:eastAsia="ja-JP"/>
        </w:rPr>
        <w:t>However, it is unclear</w:t>
      </w:r>
      <w:r w:rsidR="00670D59">
        <w:rPr>
          <w:rFonts w:eastAsia="SimSun"/>
          <w:lang w:eastAsia="ja-JP"/>
        </w:rPr>
        <w:t xml:space="preserve"> what is the </w:t>
      </w:r>
      <w:r w:rsidR="00712508">
        <w:rPr>
          <w:rFonts w:eastAsia="SimSun"/>
          <w:lang w:eastAsia="ja-JP"/>
        </w:rPr>
        <w:t xml:space="preserve">value </w:t>
      </w:r>
      <w:r w:rsidR="00670D59">
        <w:rPr>
          <w:rFonts w:eastAsia="SimSun"/>
          <w:lang w:eastAsia="ja-JP"/>
        </w:rPr>
        <w:t xml:space="preserve">range of proximity </w:t>
      </w:r>
      <w:r w:rsidR="00712508">
        <w:rPr>
          <w:rFonts w:eastAsia="SimSun"/>
          <w:lang w:eastAsia="ja-JP"/>
        </w:rPr>
        <w:t xml:space="preserve">threshold, </w:t>
      </w:r>
      <w:r w:rsidR="00712508">
        <w:t>the dividing line between near and far</w:t>
      </w:r>
      <w:r w:rsidR="00B9230C">
        <w:t xml:space="preserve"> (or “not near”)</w:t>
      </w:r>
      <w:r w:rsidR="00712508">
        <w:t>.</w:t>
      </w:r>
    </w:p>
    <w:p w14:paraId="201459D9" w14:textId="77777777" w:rsidR="00BF5ED9" w:rsidRPr="004C37AE" w:rsidRDefault="00BF5ED9" w:rsidP="004C37AE">
      <w:pPr>
        <w:spacing w:after="120"/>
        <w:ind w:left="360" w:right="-96"/>
        <w:rPr>
          <w:rFonts w:ascii="Times New Roman" w:eastAsia="SimSun" w:hAnsi="Times New Roman" w:cs="Times New Roman"/>
          <w:lang w:eastAsia="ja-JP"/>
        </w:rPr>
      </w:pPr>
      <w:r w:rsidRPr="004C37AE">
        <w:rPr>
          <w:rFonts w:ascii="Times New Roman" w:eastAsia="SimSun" w:hAnsi="Times New Roman" w:cs="Times New Roman"/>
          <w:lang w:eastAsia="ja-JP"/>
        </w:rPr>
        <w:t>Study the feasibility and required functionalities for proximity determination</w:t>
      </w:r>
      <w:r w:rsidRPr="004C37AE">
        <w:rPr>
          <w:rFonts w:ascii="Times New Roman" w:eastAsia="SimSun" w:hAnsi="Times New Roman" w:cs="Times New Roman"/>
          <w:color w:val="FF0000"/>
        </w:rPr>
        <w:t>, which is the determination of whether BS or intermediate UE and ambient IoT device are near each other or not</w:t>
      </w:r>
      <w:r w:rsidRPr="004C37AE">
        <w:rPr>
          <w:rFonts w:ascii="Times New Roman" w:eastAsia="SimSun" w:hAnsi="Times New Roman" w:cs="Times New Roman"/>
          <w:lang w:eastAsia="ja-JP"/>
        </w:rPr>
        <w:t xml:space="preserve"> (coordination with SA3 is required for privacy aspects).</w:t>
      </w:r>
    </w:p>
    <w:p w14:paraId="75F9A808" w14:textId="2F2E6046" w:rsidR="00670D59" w:rsidRDefault="00923725" w:rsidP="00BF5ED9">
      <w:pPr>
        <w:spacing w:after="120"/>
        <w:ind w:right="-96"/>
        <w:jc w:val="both"/>
      </w:pPr>
      <w:bookmarkStart w:id="71" w:name="_Hlk162257917"/>
      <w:bookmarkEnd w:id="70"/>
      <w:r>
        <w:t>If a</w:t>
      </w:r>
      <w:r w:rsidR="00670D59">
        <w:t xml:space="preserve"> reader’s coverage is 10~50</w:t>
      </w:r>
      <w:r w:rsidR="00735D1E">
        <w:t xml:space="preserve"> </w:t>
      </w:r>
      <w:r w:rsidR="00670D59">
        <w:t>m</w:t>
      </w:r>
      <w:r>
        <w:t>,</w:t>
      </w:r>
      <w:r w:rsidR="00670D59">
        <w:t xml:space="preserve"> </w:t>
      </w:r>
      <w:r>
        <w:t>a</w:t>
      </w:r>
      <w:r w:rsidR="00670D59">
        <w:t xml:space="preserve"> proximity threshold, namely the dividing line between near and far, </w:t>
      </w:r>
      <w:r w:rsidR="00DE0C57">
        <w:t>can be any value from 0</w:t>
      </w:r>
      <w:r w:rsidR="00735D1E">
        <w:t xml:space="preserve"> </w:t>
      </w:r>
      <w:r w:rsidR="00DE0C57">
        <w:t>m to the reader’s coverage, e.g., 50</w:t>
      </w:r>
      <w:r w:rsidR="00735D1E">
        <w:t xml:space="preserve"> </w:t>
      </w:r>
      <w:r w:rsidR="00DE0C57">
        <w:t xml:space="preserve">m. The large value range is not helpful for the discussion on methods, because </w:t>
      </w:r>
      <w:r w:rsidR="00712508">
        <w:t xml:space="preserve">methods would be different </w:t>
      </w:r>
      <w:r w:rsidR="00AD5C87">
        <w:t xml:space="preserve">depending on </w:t>
      </w:r>
      <w:r w:rsidR="00712508">
        <w:t>if the threshold is 1</w:t>
      </w:r>
      <w:r w:rsidR="00AD5C87">
        <w:t xml:space="preserve"> </w:t>
      </w:r>
      <w:r w:rsidR="00712508">
        <w:t>m or 49</w:t>
      </w:r>
      <w:r w:rsidR="00AD5C87">
        <w:t xml:space="preserve"> </w:t>
      </w:r>
      <w:r w:rsidR="00712508">
        <w:t xml:space="preserve">m. </w:t>
      </w:r>
      <w:r w:rsidR="00DE0C57">
        <w:t>It</w:t>
      </w:r>
      <w:r w:rsidR="00712508">
        <w:t>s</w:t>
      </w:r>
      <w:r w:rsidR="00DE0C57">
        <w:t xml:space="preserve"> specific value </w:t>
      </w:r>
      <w:r w:rsidR="00670D59">
        <w:t>depends on the use cases of proximity determination.</w:t>
      </w:r>
      <w:r w:rsidR="00670D59" w:rsidRPr="00424956">
        <w:t xml:space="preserve"> </w:t>
      </w:r>
      <w:r w:rsidR="00670D59">
        <w:t xml:space="preserve">In </w:t>
      </w:r>
      <w:r w:rsidR="00CB335E">
        <w:t>one</w:t>
      </w:r>
      <w:r w:rsidR="00670D59">
        <w:t xml:space="preserve"> case, proximity determination can be used for coverage enhancement. </w:t>
      </w:r>
      <w:r w:rsidR="00712508">
        <w:t>It can</w:t>
      </w:r>
      <w:r w:rsidR="00670D59">
        <w:t xml:space="preserve"> provide a distribution of devices</w:t>
      </w:r>
      <w:r w:rsidR="00DE0C57">
        <w:t xml:space="preserve"> in a reader’s coverage</w:t>
      </w:r>
      <w:r w:rsidR="0015002B">
        <w:t xml:space="preserve"> area</w:t>
      </w:r>
      <w:r w:rsidR="00670D59">
        <w:t xml:space="preserve">, e.g., how many devices are near and their percentage. MNO can </w:t>
      </w:r>
      <w:r w:rsidR="00DE0C57">
        <w:t>adjust</w:t>
      </w:r>
      <w:r w:rsidR="00670D59">
        <w:t xml:space="preserve"> a reader</w:t>
      </w:r>
      <w:r w:rsidR="00BA464A">
        <w:t xml:space="preserve"> accordingly</w:t>
      </w:r>
      <w:r w:rsidR="00670D59">
        <w:t xml:space="preserve">, </w:t>
      </w:r>
      <w:r w:rsidR="00BA464A">
        <w:t xml:space="preserve">e.g., </w:t>
      </w:r>
      <w:r w:rsidR="00670D59">
        <w:t xml:space="preserve">if a large percentage of devices are far from it. </w:t>
      </w:r>
      <w:bookmarkStart w:id="72" w:name="OLE_LINK20"/>
      <w:r w:rsidR="00DE0C57">
        <w:t>In this sense, the proximity threshold between near and far is analogous to cell center and cell edge.</w:t>
      </w:r>
      <w:bookmarkEnd w:id="72"/>
      <w:r w:rsidR="00670D59">
        <w:t xml:space="preserve"> </w:t>
      </w:r>
    </w:p>
    <w:p w14:paraId="705582E8" w14:textId="26E2156D" w:rsidR="00DE0C57" w:rsidRPr="00DE0C57" w:rsidRDefault="00DE0C57" w:rsidP="0004084D">
      <w:pPr>
        <w:pStyle w:val="Observation"/>
        <w:ind w:left="1701" w:hanging="1701"/>
        <w:jc w:val="left"/>
        <w:rPr>
          <w:rFonts w:eastAsia="SimSun"/>
        </w:rPr>
      </w:pPr>
      <w:bookmarkStart w:id="73" w:name="_Toc166257157"/>
      <w:r>
        <w:t xml:space="preserve">Proximity threshold, namely the dividing line between near and far, depends on the use cases of proximity determination. From coverage perspective, </w:t>
      </w:r>
      <w:r w:rsidRPr="00DE0C57">
        <w:t>the proximity threshold between near and far is analogous to cell center and cell edge.</w:t>
      </w:r>
      <w:bookmarkEnd w:id="73"/>
    </w:p>
    <w:p w14:paraId="0B652307" w14:textId="456AA493" w:rsidR="00DE0C57" w:rsidRDefault="00DE0C57" w:rsidP="0004084D">
      <w:pPr>
        <w:pStyle w:val="Proposal"/>
        <w:numPr>
          <w:ilvl w:val="0"/>
          <w:numId w:val="2"/>
        </w:numPr>
        <w:tabs>
          <w:tab w:val="clear" w:pos="1304"/>
        </w:tabs>
        <w:ind w:left="1701" w:hanging="1701"/>
        <w:jc w:val="left"/>
      </w:pPr>
      <w:bookmarkStart w:id="74" w:name="_Toc166257179"/>
      <w:r>
        <w:t>RAN1 to clarify the use case of proximity determination and the</w:t>
      </w:r>
      <w:r w:rsidR="00712508">
        <w:t xml:space="preserve"> </w:t>
      </w:r>
      <w:r>
        <w:t xml:space="preserve">proximity </w:t>
      </w:r>
      <w:r w:rsidR="00712508">
        <w:t>range</w:t>
      </w:r>
      <w:r>
        <w:t>.</w:t>
      </w:r>
      <w:bookmarkEnd w:id="74"/>
    </w:p>
    <w:p w14:paraId="06435379" w14:textId="32ED54B9" w:rsidR="00536A40" w:rsidRDefault="00536A40" w:rsidP="00536A40">
      <w:pPr>
        <w:rPr>
          <w:lang w:eastAsia="ja-JP"/>
        </w:rPr>
      </w:pPr>
      <w:bookmarkStart w:id="75" w:name="OLE_LINK26"/>
      <w:bookmarkEnd w:id="71"/>
      <w:r w:rsidRPr="00536A40">
        <w:rPr>
          <w:lang w:eastAsia="ja-JP"/>
        </w:rPr>
        <w:t>Proposal 2.3-3A</w:t>
      </w:r>
      <w:r>
        <w:rPr>
          <w:lang w:eastAsia="ja-JP"/>
        </w:rPr>
        <w:t xml:space="preserve"> was discussed in RAN1#116bis and reduced to the following agreement. </w:t>
      </w:r>
    </w:p>
    <w:tbl>
      <w:tblPr>
        <w:tblStyle w:val="TableGrid"/>
        <w:tblW w:w="0" w:type="auto"/>
        <w:tblLook w:val="04A0" w:firstRow="1" w:lastRow="0" w:firstColumn="1" w:lastColumn="0" w:noHBand="0" w:noVBand="1"/>
      </w:tblPr>
      <w:tblGrid>
        <w:gridCol w:w="9629"/>
      </w:tblGrid>
      <w:tr w:rsidR="00536A40" w:rsidRPr="00223789" w14:paraId="4B649D2C" w14:textId="77777777">
        <w:tc>
          <w:tcPr>
            <w:tcW w:w="9629" w:type="dxa"/>
          </w:tcPr>
          <w:p w14:paraId="5FE5E9C6" w14:textId="31947F00" w:rsidR="00536A40" w:rsidRPr="00D8244C" w:rsidRDefault="00536A40">
            <w:pPr>
              <w:rPr>
                <w:rFonts w:ascii="Times New Roman" w:hAnsi="Times New Roman" w:cs="Times New Roman"/>
                <w:b/>
                <w:sz w:val="20"/>
                <w:szCs w:val="20"/>
                <w:lang w:eastAsia="ja-JP"/>
              </w:rPr>
            </w:pPr>
            <w:r w:rsidRPr="00D8244C">
              <w:rPr>
                <w:rFonts w:ascii="Times New Roman" w:hAnsi="Times New Roman" w:cs="Times New Roman"/>
                <w:b/>
                <w:sz w:val="20"/>
                <w:szCs w:val="20"/>
                <w:lang w:eastAsia="ja-JP"/>
              </w:rPr>
              <w:t>RAN1#116b</w:t>
            </w:r>
            <w:r w:rsidR="00D8244C" w:rsidRPr="00D8244C">
              <w:rPr>
                <w:rFonts w:ascii="Times New Roman" w:hAnsi="Times New Roman" w:cs="Times New Roman"/>
                <w:b/>
                <w:bCs/>
                <w:sz w:val="20"/>
                <w:szCs w:val="20"/>
                <w:lang w:eastAsia="ja-JP"/>
              </w:rPr>
              <w:t>:</w:t>
            </w:r>
          </w:p>
          <w:p w14:paraId="12464BB3" w14:textId="77777777" w:rsidR="00536A40" w:rsidRPr="00D8244C" w:rsidRDefault="00536A40">
            <w:pPr>
              <w:pStyle w:val="0Maintext"/>
              <w:rPr>
                <w:sz w:val="20"/>
                <w:lang w:eastAsia="zh-CN"/>
              </w:rPr>
            </w:pPr>
            <w:r w:rsidRPr="00D8244C">
              <w:rPr>
                <w:sz w:val="20"/>
                <w:highlight w:val="green"/>
                <w:lang w:eastAsia="zh-CN"/>
              </w:rPr>
              <w:t>Agreement</w:t>
            </w:r>
          </w:p>
          <w:p w14:paraId="30F0C32F" w14:textId="568C5EF3" w:rsidR="00223789" w:rsidRDefault="00536A40" w:rsidP="00D8244C">
            <w:pPr>
              <w:pStyle w:val="ListParagraph"/>
              <w:autoSpaceDE w:val="0"/>
              <w:autoSpaceDN w:val="0"/>
              <w:adjustRightInd w:val="0"/>
              <w:snapToGrid w:val="0"/>
              <w:ind w:left="0"/>
              <w:contextualSpacing/>
              <w:jc w:val="both"/>
              <w:rPr>
                <w:rFonts w:ascii="Times New Roman" w:hAnsi="Times New Roman" w:cs="Times New Roman"/>
                <w:sz w:val="20"/>
                <w:szCs w:val="20"/>
              </w:rPr>
            </w:pPr>
            <w:r w:rsidRPr="00D8244C">
              <w:rPr>
                <w:rFonts w:ascii="Times New Roman" w:hAnsi="Times New Roman" w:cs="Times New Roman"/>
                <w:sz w:val="20"/>
                <w:szCs w:val="20"/>
              </w:rPr>
              <w:t>Proximity determination based on device side measurements is not considered.</w:t>
            </w:r>
          </w:p>
          <w:p w14:paraId="07064BE8" w14:textId="77777777" w:rsidR="00D8244C" w:rsidRPr="00D8244C" w:rsidRDefault="00D8244C" w:rsidP="00D8244C">
            <w:pPr>
              <w:pStyle w:val="ListParagraph"/>
              <w:autoSpaceDE w:val="0"/>
              <w:autoSpaceDN w:val="0"/>
              <w:adjustRightInd w:val="0"/>
              <w:snapToGrid w:val="0"/>
              <w:ind w:left="0"/>
              <w:contextualSpacing/>
              <w:jc w:val="both"/>
              <w:rPr>
                <w:rFonts w:ascii="Times New Roman" w:hAnsi="Times New Roman" w:cs="Times New Roman"/>
                <w:sz w:val="20"/>
                <w:szCs w:val="20"/>
                <w:lang w:eastAsia="x-none"/>
              </w:rPr>
            </w:pPr>
          </w:p>
          <w:p w14:paraId="2319E6A5" w14:textId="62B766D4" w:rsidR="00536A40" w:rsidRPr="00D8244C" w:rsidRDefault="00536A40" w:rsidP="008A07E7">
            <w:pPr>
              <w:spacing w:after="0"/>
              <w:rPr>
                <w:rFonts w:ascii="Times New Roman" w:hAnsi="Times New Roman" w:cs="Times New Roman"/>
                <w:b/>
                <w:i/>
                <w:sz w:val="20"/>
                <w:szCs w:val="20"/>
              </w:rPr>
            </w:pPr>
            <w:r w:rsidRPr="00D8244C">
              <w:rPr>
                <w:rFonts w:ascii="Times New Roman" w:hAnsi="Times New Roman" w:cs="Times New Roman"/>
                <w:b/>
                <w:i/>
                <w:sz w:val="20"/>
                <w:szCs w:val="20"/>
              </w:rPr>
              <w:t>Proposal 2.3-3A</w:t>
            </w:r>
          </w:p>
          <w:p w14:paraId="33B206CF" w14:textId="77777777" w:rsidR="00536A40" w:rsidRPr="00D8244C" w:rsidRDefault="00536A40">
            <w:pPr>
              <w:pStyle w:val="ListParagraph"/>
              <w:numPr>
                <w:ilvl w:val="0"/>
                <w:numId w:val="21"/>
              </w:numPr>
              <w:autoSpaceDE w:val="0"/>
              <w:autoSpaceDN w:val="0"/>
              <w:adjustRightInd w:val="0"/>
              <w:snapToGrid w:val="0"/>
              <w:spacing w:after="120" w:line="240" w:lineRule="auto"/>
              <w:ind w:left="360"/>
              <w:contextualSpacing/>
              <w:jc w:val="both"/>
              <w:rPr>
                <w:rFonts w:ascii="Times New Roman" w:hAnsi="Times New Roman" w:cs="Times New Roman"/>
                <w:sz w:val="20"/>
                <w:szCs w:val="20"/>
              </w:rPr>
            </w:pPr>
            <w:r w:rsidRPr="00D8244C">
              <w:rPr>
                <w:rFonts w:ascii="Times New Roman" w:hAnsi="Times New Roman" w:cs="Times New Roman"/>
                <w:color w:val="FF0000"/>
                <w:sz w:val="20"/>
                <w:szCs w:val="20"/>
              </w:rPr>
              <w:t>[</w:t>
            </w:r>
            <w:r w:rsidRPr="00D8244C">
              <w:rPr>
                <w:rFonts w:ascii="Times New Roman" w:hAnsi="Times New Roman" w:cs="Times New Roman"/>
                <w:sz w:val="20"/>
                <w:szCs w:val="20"/>
              </w:rPr>
              <w:t>For proximity determination at the reader, at least the following two options are studied :</w:t>
            </w:r>
          </w:p>
          <w:p w14:paraId="4FBBF5E3" w14:textId="77777777" w:rsidR="00536A40" w:rsidRPr="00D8244C" w:rsidRDefault="00536A40">
            <w:pPr>
              <w:pStyle w:val="ListParagraph"/>
              <w:numPr>
                <w:ilvl w:val="0"/>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rPr>
            </w:pPr>
            <w:r w:rsidRPr="00D8244C">
              <w:rPr>
                <w:rFonts w:ascii="Times New Roman" w:hAnsi="Times New Roman" w:cs="Times New Roman"/>
                <w:color w:val="000000" w:themeColor="text1"/>
                <w:sz w:val="20"/>
                <w:szCs w:val="20"/>
              </w:rPr>
              <w:t>Option 1: If reader successfully receives D2R transmission from the device in response to R2D transmission, then device is determined as near</w:t>
            </w:r>
          </w:p>
          <w:p w14:paraId="78D4D243" w14:textId="77777777" w:rsidR="00536A40" w:rsidRPr="00D8244C" w:rsidRDefault="00536A40">
            <w:pPr>
              <w:pStyle w:val="ListParagraph"/>
              <w:numPr>
                <w:ilvl w:val="0"/>
                <w:numId w:val="22"/>
              </w:numPr>
              <w:autoSpaceDE w:val="0"/>
              <w:autoSpaceDN w:val="0"/>
              <w:adjustRightInd w:val="0"/>
              <w:snapToGrid w:val="0"/>
              <w:spacing w:after="120" w:line="240" w:lineRule="auto"/>
              <w:contextualSpacing/>
              <w:jc w:val="both"/>
              <w:rPr>
                <w:rFonts w:ascii="Times New Roman" w:hAnsi="Times New Roman" w:cs="Times New Roman"/>
                <w:sz w:val="20"/>
                <w:szCs w:val="20"/>
              </w:rPr>
            </w:pPr>
            <w:r w:rsidRPr="00D8244C">
              <w:rPr>
                <w:rFonts w:ascii="Times New Roman" w:hAnsi="Times New Roman" w:cs="Times New Roman"/>
                <w:sz w:val="20"/>
                <w:szCs w:val="20"/>
              </w:rPr>
              <w:t>Option 2: Device is determined to be near the reader based on measurements at the reader side</w:t>
            </w:r>
          </w:p>
          <w:p w14:paraId="17935B83" w14:textId="77777777" w:rsidR="00536A40" w:rsidRPr="00D8244C" w:rsidRDefault="00536A40">
            <w:pPr>
              <w:pStyle w:val="ListParagraph"/>
              <w:numPr>
                <w:ilvl w:val="0"/>
                <w:numId w:val="22"/>
              </w:numPr>
              <w:autoSpaceDE w:val="0"/>
              <w:autoSpaceDN w:val="0"/>
              <w:adjustRightInd w:val="0"/>
              <w:snapToGrid w:val="0"/>
              <w:spacing w:after="120" w:line="240" w:lineRule="auto"/>
              <w:contextualSpacing/>
              <w:jc w:val="both"/>
              <w:rPr>
                <w:rFonts w:ascii="Times New Roman" w:hAnsi="Times New Roman" w:cs="Times New Roman"/>
                <w:color w:val="000000" w:themeColor="text1"/>
                <w:sz w:val="20"/>
                <w:szCs w:val="20"/>
              </w:rPr>
            </w:pPr>
            <w:r w:rsidRPr="00D8244C">
              <w:rPr>
                <w:rFonts w:ascii="Times New Roman" w:hAnsi="Times New Roman" w:cs="Times New Roman"/>
                <w:color w:val="000000" w:themeColor="text1"/>
                <w:sz w:val="20"/>
                <w:szCs w:val="20"/>
              </w:rPr>
              <w:t>FFS: Whether the near determination is different for devices transmitting with different power</w:t>
            </w:r>
          </w:p>
          <w:p w14:paraId="0B2A7E25" w14:textId="77777777" w:rsidR="00536A40" w:rsidRPr="00D8244C" w:rsidRDefault="00536A40">
            <w:pPr>
              <w:pStyle w:val="ListParagraph"/>
              <w:numPr>
                <w:ilvl w:val="0"/>
                <w:numId w:val="22"/>
              </w:numPr>
              <w:autoSpaceDE w:val="0"/>
              <w:autoSpaceDN w:val="0"/>
              <w:adjustRightInd w:val="0"/>
              <w:snapToGrid w:val="0"/>
              <w:spacing w:after="120" w:line="240" w:lineRule="auto"/>
              <w:contextualSpacing/>
              <w:jc w:val="both"/>
              <w:rPr>
                <w:rFonts w:ascii="Times New Roman" w:hAnsi="Times New Roman" w:cs="Times New Roman"/>
                <w:sz w:val="20"/>
                <w:szCs w:val="20"/>
              </w:rPr>
            </w:pPr>
            <w:r w:rsidRPr="00D8244C">
              <w:rPr>
                <w:rFonts w:ascii="Times New Roman" w:hAnsi="Times New Roman" w:cs="Times New Roman"/>
                <w:sz w:val="20"/>
                <w:szCs w:val="20"/>
              </w:rPr>
              <w:t>Note: other options are not precluded for study</w:t>
            </w:r>
            <w:r w:rsidRPr="00D8244C">
              <w:rPr>
                <w:rFonts w:ascii="Times New Roman" w:hAnsi="Times New Roman" w:cs="Times New Roman"/>
                <w:color w:val="FF0000"/>
                <w:sz w:val="20"/>
                <w:szCs w:val="20"/>
              </w:rPr>
              <w:t>]</w:t>
            </w:r>
          </w:p>
          <w:p w14:paraId="783604D7" w14:textId="77777777" w:rsidR="00536A40" w:rsidRPr="00D8244C" w:rsidRDefault="00536A40" w:rsidP="00323BAB">
            <w:pPr>
              <w:pStyle w:val="ListParagraph"/>
              <w:numPr>
                <w:ilvl w:val="0"/>
                <w:numId w:val="21"/>
              </w:numPr>
              <w:autoSpaceDE w:val="0"/>
              <w:autoSpaceDN w:val="0"/>
              <w:adjustRightInd w:val="0"/>
              <w:snapToGrid w:val="0"/>
              <w:spacing w:after="120" w:line="240" w:lineRule="auto"/>
              <w:ind w:left="360"/>
              <w:contextualSpacing/>
              <w:jc w:val="both"/>
              <w:rPr>
                <w:rFonts w:ascii="Times New Roman" w:hAnsi="Times New Roman" w:cs="Times New Roman"/>
                <w:sz w:val="20"/>
                <w:szCs w:val="20"/>
              </w:rPr>
            </w:pPr>
            <w:r w:rsidRPr="00D8244C">
              <w:rPr>
                <w:rFonts w:ascii="Times New Roman" w:hAnsi="Times New Roman" w:cs="Times New Roman"/>
                <w:sz w:val="20"/>
                <w:szCs w:val="20"/>
              </w:rPr>
              <w:lastRenderedPageBreak/>
              <w:t xml:space="preserve">Proximity determination based on device side measurements is not considered for further study </w:t>
            </w:r>
          </w:p>
        </w:tc>
      </w:tr>
    </w:tbl>
    <w:p w14:paraId="250F7900" w14:textId="359A3977" w:rsidR="00F57357" w:rsidRDefault="004D5CF8" w:rsidP="00F57357">
      <w:pPr>
        <w:spacing w:before="120"/>
        <w:jc w:val="both"/>
        <w:rPr>
          <w:rFonts w:eastAsia="SimSun"/>
          <w:lang w:val="en-GB" w:eastAsia="ja-JP"/>
        </w:rPr>
      </w:pPr>
      <w:r>
        <w:rPr>
          <w:rFonts w:eastAsia="SimSun"/>
          <w:lang w:val="en-GB" w:eastAsia="ja-JP"/>
        </w:rPr>
        <w:lastRenderedPageBreak/>
        <w:t xml:space="preserve">Option 1 is based on that for DO-DTT traffic, a D2R transmission follows R2D transmission. </w:t>
      </w:r>
      <w:r w:rsidR="008847A0">
        <w:rPr>
          <w:rFonts w:eastAsia="SimSun"/>
          <w:lang w:val="en-GB" w:eastAsia="ja-JP"/>
        </w:rPr>
        <w:t>After a PRDCH, if</w:t>
      </w:r>
      <w:r>
        <w:rPr>
          <w:rFonts w:eastAsia="SimSun"/>
          <w:lang w:val="en-GB" w:eastAsia="ja-JP"/>
        </w:rPr>
        <w:t xml:space="preserve"> </w:t>
      </w:r>
      <w:r>
        <w:rPr>
          <w:rFonts w:eastAsia="SimSun" w:hint="eastAsia"/>
          <w:lang w:val="en-GB" w:eastAsia="zh-CN"/>
        </w:rPr>
        <w:t>a</w:t>
      </w:r>
      <w:r>
        <w:rPr>
          <w:rFonts w:eastAsia="SimSun"/>
          <w:lang w:val="en-GB" w:eastAsia="ja-JP"/>
        </w:rPr>
        <w:t xml:space="preserve"> reader doesn’t receive </w:t>
      </w:r>
      <w:r w:rsidR="008847A0">
        <w:rPr>
          <w:rFonts w:eastAsia="SimSun"/>
          <w:lang w:val="en-GB" w:eastAsia="ja-JP"/>
        </w:rPr>
        <w:t xml:space="preserve">a response, namely the expected </w:t>
      </w:r>
      <w:r>
        <w:rPr>
          <w:rFonts w:eastAsia="SimSun"/>
          <w:lang w:val="en-GB" w:eastAsia="ja-JP"/>
        </w:rPr>
        <w:t>D2R transmission, it may be because the preceding PRDCH is not successfully received by the device. This</w:t>
      </w:r>
      <w:r w:rsidR="008847A0">
        <w:rPr>
          <w:rFonts w:eastAsia="SimSun"/>
          <w:lang w:val="en-GB" w:eastAsia="ja-JP"/>
        </w:rPr>
        <w:t xml:space="preserve"> proximity determination can be triggered with a PRDCH, which can be an inventory query command or a unicast PRDCH. </w:t>
      </w:r>
    </w:p>
    <w:p w14:paraId="3818A7D5" w14:textId="77777777" w:rsidR="00F57357" w:rsidRDefault="00F57357" w:rsidP="0004084D">
      <w:pPr>
        <w:pStyle w:val="Observation"/>
        <w:ind w:left="1701" w:hanging="1701"/>
        <w:jc w:val="left"/>
        <w:rPr>
          <w:rFonts w:eastAsia="SimSun"/>
        </w:rPr>
      </w:pPr>
      <w:bookmarkStart w:id="76" w:name="_Toc166257158"/>
      <w:r>
        <w:rPr>
          <w:rFonts w:eastAsia="SimSun"/>
        </w:rPr>
        <w:t xml:space="preserve">With Option 1, proximity determination is triggered by a PRDCH, such as </w:t>
      </w:r>
      <w:r>
        <w:rPr>
          <w:rFonts w:eastAsia="SimSun"/>
          <w:lang w:val="en-GB"/>
        </w:rPr>
        <w:t>an inventory query command or a unicast PRDCH.</w:t>
      </w:r>
      <w:bookmarkEnd w:id="76"/>
    </w:p>
    <w:p w14:paraId="7E326360" w14:textId="3EC19D7F" w:rsidR="00F57357" w:rsidRDefault="00F57357" w:rsidP="00F57357">
      <w:pPr>
        <w:jc w:val="both"/>
        <w:rPr>
          <w:rFonts w:eastAsia="SimSun"/>
          <w:lang w:val="en-GB" w:eastAsia="zh-CN"/>
        </w:rPr>
      </w:pPr>
      <w:r>
        <w:rPr>
          <w:rFonts w:eastAsia="SimSun"/>
          <w:lang w:val="en-GB" w:eastAsia="ja-JP"/>
        </w:rPr>
        <w:t xml:space="preserve">With Option 1, if PDRCH from a device is not successfully received by a reader, it would not be considered as </w:t>
      </w:r>
      <w:r w:rsidR="00E36C7C">
        <w:rPr>
          <w:rFonts w:eastAsia="SimSun"/>
          <w:lang w:val="en-GB" w:eastAsia="ja-JP"/>
        </w:rPr>
        <w:t>nearby</w:t>
      </w:r>
      <w:r>
        <w:rPr>
          <w:rFonts w:eastAsia="SimSun"/>
          <w:lang w:val="en-GB" w:eastAsia="ja-JP"/>
        </w:rPr>
        <w:t xml:space="preserve">. This may happen in many cases. Firstly, due to </w:t>
      </w:r>
      <w:r>
        <w:rPr>
          <w:rFonts w:eastAsia="SimSun"/>
          <w:lang w:val="en-GB" w:eastAsia="zh-CN"/>
        </w:rPr>
        <w:t xml:space="preserve">collision of PDRCH from multiple devices, </w:t>
      </w:r>
      <w:r>
        <w:rPr>
          <w:rFonts w:eastAsia="SimSun" w:hint="eastAsia"/>
          <w:lang w:val="en-GB" w:eastAsia="zh-CN"/>
        </w:rPr>
        <w:t>PDRCH</w:t>
      </w:r>
      <w:r>
        <w:rPr>
          <w:rFonts w:eastAsia="SimSun"/>
          <w:lang w:val="en-GB" w:eastAsia="zh-CN"/>
        </w:rPr>
        <w:t xml:space="preserve"> from a device </w:t>
      </w:r>
      <w:r w:rsidR="007A7736">
        <w:rPr>
          <w:rFonts w:eastAsia="SimSun"/>
          <w:lang w:val="en-GB" w:eastAsia="zh-CN"/>
        </w:rPr>
        <w:t>may</w:t>
      </w:r>
      <w:r>
        <w:rPr>
          <w:rFonts w:eastAsia="SimSun"/>
          <w:lang w:val="en-GB" w:eastAsia="zh-CN"/>
        </w:rPr>
        <w:t xml:space="preserve"> not </w:t>
      </w:r>
      <w:r w:rsidR="007A7736">
        <w:rPr>
          <w:rFonts w:eastAsia="SimSun"/>
          <w:lang w:val="en-GB" w:eastAsia="zh-CN"/>
        </w:rPr>
        <w:t xml:space="preserve">be </w:t>
      </w:r>
      <w:r>
        <w:rPr>
          <w:rFonts w:eastAsia="SimSun"/>
          <w:lang w:val="en-GB" w:eastAsia="zh-CN"/>
        </w:rPr>
        <w:t xml:space="preserve">successfully received by a reader due to collision. This can be solved by unicast PRDCH or another round of </w:t>
      </w:r>
      <w:r>
        <w:rPr>
          <w:rFonts w:eastAsia="SimSun" w:hint="eastAsia"/>
          <w:lang w:val="en-GB" w:eastAsia="zh-CN"/>
        </w:rPr>
        <w:t>proximity</w:t>
      </w:r>
      <w:r>
        <w:rPr>
          <w:rFonts w:eastAsia="SimSun"/>
          <w:lang w:val="en-GB" w:eastAsia="zh-CN"/>
        </w:rPr>
        <w:t xml:space="preserve"> determination. Secondly, d</w:t>
      </w:r>
      <w:r>
        <w:rPr>
          <w:rFonts w:eastAsia="SimSun"/>
          <w:lang w:val="en-GB" w:eastAsia="ja-JP"/>
        </w:rPr>
        <w:t xml:space="preserve">ue to the imbalance between D2R and R2D coverage, it is possible that some devices receive </w:t>
      </w:r>
      <w:r>
        <w:rPr>
          <w:rFonts w:eastAsia="SimSun" w:hint="eastAsia"/>
          <w:lang w:val="en-GB" w:eastAsia="zh-CN"/>
        </w:rPr>
        <w:t>t</w:t>
      </w:r>
      <w:r>
        <w:rPr>
          <w:rFonts w:eastAsia="SimSun"/>
          <w:lang w:val="en-GB" w:eastAsia="zh-CN"/>
        </w:rPr>
        <w:t xml:space="preserve">he PRDCH but fail to get their PDRCH successfully received by </w:t>
      </w:r>
      <w:r w:rsidR="007A7736">
        <w:rPr>
          <w:rFonts w:eastAsia="SimSun"/>
          <w:lang w:val="en-GB" w:eastAsia="zh-CN"/>
        </w:rPr>
        <w:t>the reader</w:t>
      </w:r>
      <w:r>
        <w:rPr>
          <w:rFonts w:eastAsia="SimSun"/>
          <w:lang w:val="en-GB" w:eastAsia="zh-CN"/>
        </w:rPr>
        <w:t xml:space="preserve">. In both cases, since the reader is unaware of the PDRCH from these devices, they are not identified as near. </w:t>
      </w:r>
    </w:p>
    <w:p w14:paraId="6E5FEE65" w14:textId="77777777" w:rsidR="00F57357" w:rsidRPr="00BD3297" w:rsidRDefault="00F57357" w:rsidP="0004084D">
      <w:pPr>
        <w:pStyle w:val="Observation"/>
        <w:ind w:left="1701" w:hanging="1701"/>
        <w:jc w:val="left"/>
        <w:rPr>
          <w:rFonts w:eastAsia="SimSun"/>
        </w:rPr>
      </w:pPr>
      <w:bookmarkStart w:id="77" w:name="_Toc166257159"/>
      <w:r>
        <w:rPr>
          <w:rFonts w:eastAsia="SimSun"/>
          <w:lang w:val="en-GB"/>
        </w:rPr>
        <w:t>With Option 1, if PDRCH from a device is not successfully received by a reader, it would not be considered as near, for example in the case of collision of PDRCH from multiple devices or imbalanced D2R and R2D coverage.</w:t>
      </w:r>
      <w:bookmarkEnd w:id="77"/>
    </w:p>
    <w:p w14:paraId="2218F055" w14:textId="655DD3AD" w:rsidR="00F57357" w:rsidRDefault="00F57357" w:rsidP="004D5CF8">
      <w:pPr>
        <w:jc w:val="both"/>
        <w:rPr>
          <w:rFonts w:eastAsia="SimSun"/>
          <w:lang w:val="en-GB" w:eastAsia="ja-JP"/>
        </w:rPr>
      </w:pPr>
      <w:r>
        <w:rPr>
          <w:rFonts w:eastAsia="SimSun"/>
          <w:lang w:val="en-GB" w:eastAsia="ja-JP"/>
        </w:rPr>
        <w:t>A</w:t>
      </w:r>
      <w:r w:rsidR="00923725">
        <w:rPr>
          <w:rFonts w:eastAsia="SimSun"/>
          <w:lang w:val="en-GB" w:eastAsia="ja-JP"/>
        </w:rPr>
        <w:t xml:space="preserve">n implementation </w:t>
      </w:r>
      <w:r>
        <w:rPr>
          <w:rFonts w:eastAsia="SimSun"/>
          <w:lang w:val="en-GB" w:eastAsia="ja-JP"/>
        </w:rPr>
        <w:t>o</w:t>
      </w:r>
      <w:r w:rsidR="00923725">
        <w:rPr>
          <w:rFonts w:eastAsia="SimSun"/>
          <w:lang w:val="en-GB" w:eastAsia="ja-JP"/>
        </w:rPr>
        <w:t>f</w:t>
      </w:r>
      <w:r>
        <w:rPr>
          <w:rFonts w:eastAsia="SimSun"/>
          <w:lang w:val="en-GB" w:eastAsia="ja-JP"/>
        </w:rPr>
        <w:t xml:space="preserve"> Option 1 is that </w:t>
      </w:r>
      <w:r w:rsidR="00923725">
        <w:rPr>
          <w:rFonts w:eastAsia="SimSun"/>
          <w:lang w:val="en-GB" w:eastAsia="ja-JP"/>
        </w:rPr>
        <w:t>a reader changes</w:t>
      </w:r>
      <w:r>
        <w:rPr>
          <w:rFonts w:eastAsia="SimSun"/>
          <w:lang w:val="en-GB" w:eastAsia="ja-JP"/>
        </w:rPr>
        <w:t xml:space="preserve"> the transmission power of the PRDCH </w:t>
      </w:r>
      <w:r w:rsidR="00923725">
        <w:rPr>
          <w:rFonts w:eastAsia="SimSun"/>
          <w:lang w:val="en-GB" w:eastAsia="ja-JP"/>
        </w:rPr>
        <w:t>in order</w:t>
      </w:r>
      <w:r>
        <w:rPr>
          <w:rFonts w:eastAsia="SimSun"/>
          <w:lang w:val="en-GB" w:eastAsia="ja-JP"/>
        </w:rPr>
        <w:t xml:space="preserve"> to estimate the distribution of devices in its coverage. If the PRDCH is transmitted with high power, N responses are received. With a lower transmission power of PRDCH, M responses are received. It can estimate that M devices are nearer than the </w:t>
      </w:r>
      <w:r w:rsidR="00DC70CB">
        <w:rPr>
          <w:rFonts w:eastAsia="SimSun"/>
          <w:lang w:val="en-GB" w:eastAsia="ja-JP"/>
        </w:rPr>
        <w:t xml:space="preserve">other </w:t>
      </w:r>
      <w:r>
        <w:rPr>
          <w:rFonts w:eastAsia="SimSun"/>
          <w:lang w:val="en-GB" w:eastAsia="ja-JP"/>
        </w:rPr>
        <w:t>N-M devices.</w:t>
      </w:r>
    </w:p>
    <w:p w14:paraId="79CD6C51" w14:textId="715F3DED" w:rsidR="00F57357" w:rsidRPr="00BD3297" w:rsidRDefault="00F57357" w:rsidP="0004084D">
      <w:pPr>
        <w:pStyle w:val="Observation"/>
        <w:ind w:left="1701" w:hanging="1701"/>
        <w:jc w:val="left"/>
        <w:rPr>
          <w:rFonts w:eastAsia="SimSun"/>
        </w:rPr>
      </w:pPr>
      <w:bookmarkStart w:id="78" w:name="_Toc166257160"/>
      <w:r>
        <w:rPr>
          <w:rFonts w:eastAsia="SimSun"/>
          <w:lang w:val="en-GB"/>
        </w:rPr>
        <w:t>With different transmission power of PRDCH for proximity determination, a reader can estimate the distribution of devices.</w:t>
      </w:r>
      <w:bookmarkEnd w:id="78"/>
    </w:p>
    <w:p w14:paraId="750E15C1" w14:textId="2AC2EFFC" w:rsidR="00923725" w:rsidRDefault="001F1A01" w:rsidP="00923725">
      <w:pPr>
        <w:jc w:val="both"/>
        <w:rPr>
          <w:rFonts w:eastAsia="SimSun"/>
          <w:lang w:eastAsia="ja-JP"/>
        </w:rPr>
      </w:pPr>
      <w:r>
        <w:rPr>
          <w:rFonts w:eastAsia="SimSun"/>
          <w:lang w:eastAsia="ja-JP"/>
        </w:rPr>
        <w:t>A</w:t>
      </w:r>
      <w:r w:rsidR="00F57357">
        <w:rPr>
          <w:rFonts w:eastAsia="SimSun"/>
          <w:lang w:eastAsia="ja-JP"/>
        </w:rPr>
        <w:t>nother</w:t>
      </w:r>
      <w:r>
        <w:rPr>
          <w:rFonts w:eastAsia="SimSun"/>
          <w:lang w:eastAsia="ja-JP"/>
        </w:rPr>
        <w:t xml:space="preserve"> straightforward indicator of distance is pathloss. </w:t>
      </w:r>
      <w:r w:rsidR="00536A40">
        <w:rPr>
          <w:rFonts w:eastAsia="SimSun"/>
          <w:lang w:eastAsia="ja-JP"/>
        </w:rPr>
        <w:t xml:space="preserve">It is the rationale of Option 2. </w:t>
      </w:r>
      <w:r w:rsidR="004D5CF8">
        <w:rPr>
          <w:rFonts w:eastAsia="SimSun"/>
          <w:lang w:eastAsia="ja-JP"/>
        </w:rPr>
        <w:t>If a reader can estimate the pathloss based on</w:t>
      </w:r>
      <w:r>
        <w:rPr>
          <w:rFonts w:eastAsia="SimSun"/>
          <w:lang w:eastAsia="ja-JP"/>
        </w:rPr>
        <w:t xml:space="preserve"> </w:t>
      </w:r>
      <w:r w:rsidR="00536A40">
        <w:rPr>
          <w:rFonts w:eastAsia="SimSun"/>
          <w:lang w:eastAsia="ja-JP"/>
        </w:rPr>
        <w:t>received power of D2R</w:t>
      </w:r>
      <w:r>
        <w:rPr>
          <w:rFonts w:eastAsia="SimSun"/>
          <w:lang w:eastAsia="ja-JP"/>
        </w:rPr>
        <w:t xml:space="preserve"> transmission power, </w:t>
      </w:r>
      <w:r w:rsidR="004D5CF8">
        <w:rPr>
          <w:rFonts w:eastAsia="SimSun"/>
          <w:lang w:eastAsia="ja-JP"/>
        </w:rPr>
        <w:t>it can derive its distance to the device</w:t>
      </w:r>
      <w:r>
        <w:rPr>
          <w:rFonts w:eastAsia="SimSun"/>
          <w:lang w:eastAsia="ja-JP"/>
        </w:rPr>
        <w:t>.</w:t>
      </w:r>
      <w:r w:rsidR="00923725" w:rsidRPr="00923725">
        <w:rPr>
          <w:rFonts w:eastAsia="SimSun"/>
          <w:lang w:eastAsia="ja-JP"/>
        </w:rPr>
        <w:t xml:space="preserve"> </w:t>
      </w:r>
      <w:r w:rsidR="00923725">
        <w:rPr>
          <w:rFonts w:eastAsia="SimSun"/>
          <w:lang w:eastAsia="ja-JP"/>
        </w:rPr>
        <w:t>For passive devices, t</w:t>
      </w:r>
      <w:r w:rsidR="00923725" w:rsidRPr="00BD3297">
        <w:rPr>
          <w:rFonts w:eastAsia="SimSun"/>
          <w:lang w:eastAsia="ja-JP"/>
        </w:rPr>
        <w:t xml:space="preserve">he received </w:t>
      </w:r>
      <w:r w:rsidR="00923725">
        <w:rPr>
          <w:rFonts w:eastAsia="SimSun"/>
          <w:lang w:eastAsia="ja-JP"/>
        </w:rPr>
        <w:t>signal strength of a</w:t>
      </w:r>
      <w:r w:rsidR="00923725" w:rsidRPr="00BD3297">
        <w:rPr>
          <w:rFonts w:eastAsia="SimSun"/>
          <w:lang w:eastAsia="ja-JP"/>
        </w:rPr>
        <w:t xml:space="preserve"> backscattered signal at </w:t>
      </w:r>
      <w:r w:rsidR="00923725">
        <w:rPr>
          <w:rFonts w:eastAsia="SimSun"/>
          <w:lang w:eastAsia="ja-JP"/>
        </w:rPr>
        <w:t>a reader</w:t>
      </w:r>
      <w:r w:rsidR="00923725" w:rsidRPr="00BD3297">
        <w:rPr>
          <w:rFonts w:eastAsia="SimSun"/>
          <w:lang w:eastAsia="ja-JP"/>
        </w:rPr>
        <w:t xml:space="preserve"> is subject to </w:t>
      </w:r>
      <w:r w:rsidR="00923725">
        <w:rPr>
          <w:rFonts w:eastAsia="SimSun"/>
          <w:lang w:eastAsia="ja-JP"/>
        </w:rPr>
        <w:t xml:space="preserve">transmission power of a CW node, </w:t>
      </w:r>
      <w:r w:rsidR="00923725" w:rsidRPr="00BD3297">
        <w:rPr>
          <w:rFonts w:eastAsia="SimSun"/>
          <w:lang w:eastAsia="ja-JP"/>
        </w:rPr>
        <w:t xml:space="preserve">the propagation loss from </w:t>
      </w:r>
      <w:r w:rsidR="00923725">
        <w:rPr>
          <w:rFonts w:eastAsia="SimSun"/>
          <w:lang w:eastAsia="ja-JP"/>
        </w:rPr>
        <w:t xml:space="preserve">the </w:t>
      </w:r>
      <w:r w:rsidR="00923725" w:rsidRPr="00BD3297">
        <w:rPr>
          <w:rFonts w:eastAsia="SimSun"/>
          <w:lang w:eastAsia="ja-JP"/>
        </w:rPr>
        <w:t>CW</w:t>
      </w:r>
      <w:r w:rsidR="00923725">
        <w:rPr>
          <w:rFonts w:eastAsia="SimSun"/>
          <w:lang w:eastAsia="ja-JP"/>
        </w:rPr>
        <w:t xml:space="preserve"> node</w:t>
      </w:r>
      <w:r w:rsidR="00923725" w:rsidRPr="00BD3297">
        <w:rPr>
          <w:rFonts w:eastAsia="SimSun"/>
          <w:lang w:eastAsia="ja-JP"/>
        </w:rPr>
        <w:t xml:space="preserve"> to </w:t>
      </w:r>
      <w:r w:rsidR="00923725">
        <w:rPr>
          <w:rFonts w:eastAsia="SimSun"/>
          <w:lang w:eastAsia="ja-JP"/>
        </w:rPr>
        <w:t>the reader via a</w:t>
      </w:r>
      <w:r w:rsidR="00923725" w:rsidRPr="00BD3297">
        <w:rPr>
          <w:rFonts w:eastAsia="SimSun"/>
          <w:lang w:eastAsia="ja-JP"/>
        </w:rPr>
        <w:t xml:space="preserve"> device</w:t>
      </w:r>
      <w:r w:rsidR="00923725">
        <w:rPr>
          <w:rFonts w:eastAsia="SimSun"/>
          <w:lang w:eastAsia="ja-JP"/>
        </w:rPr>
        <w:t xml:space="preserve">, </w:t>
      </w:r>
      <w:r w:rsidR="00923725" w:rsidRPr="00BD3297">
        <w:rPr>
          <w:rFonts w:eastAsia="SimSun"/>
          <w:lang w:eastAsia="ja-JP"/>
        </w:rPr>
        <w:t xml:space="preserve">and the </w:t>
      </w:r>
      <w:r w:rsidR="00923725">
        <w:rPr>
          <w:rFonts w:eastAsia="SimSun"/>
          <w:lang w:eastAsia="ja-JP"/>
        </w:rPr>
        <w:t>backscatter</w:t>
      </w:r>
      <w:r w:rsidR="00923725" w:rsidRPr="00BD3297">
        <w:rPr>
          <w:rFonts w:eastAsia="SimSun"/>
          <w:lang w:eastAsia="ja-JP"/>
        </w:rPr>
        <w:t xml:space="preserve"> loss. </w:t>
      </w:r>
      <w:r w:rsidR="00923725">
        <w:rPr>
          <w:rFonts w:eastAsia="SimSun"/>
          <w:lang w:eastAsia="ja-JP"/>
        </w:rPr>
        <w:t>The distance between the reader and the device, which is the target of p</w:t>
      </w:r>
      <w:r w:rsidR="00923725" w:rsidRPr="00BD3297">
        <w:rPr>
          <w:rFonts w:eastAsia="SimSun"/>
          <w:lang w:eastAsia="ja-JP"/>
        </w:rPr>
        <w:t>roximity determination</w:t>
      </w:r>
      <w:r w:rsidR="00923725">
        <w:rPr>
          <w:rFonts w:eastAsia="SimSun"/>
          <w:lang w:eastAsia="ja-JP"/>
        </w:rPr>
        <w:t>, only partially contributes to the total</w:t>
      </w:r>
      <w:r w:rsidR="00923725" w:rsidRPr="00BD3297">
        <w:rPr>
          <w:rFonts w:eastAsia="SimSun"/>
          <w:lang w:eastAsia="ja-JP"/>
        </w:rPr>
        <w:t xml:space="preserve"> pathloss</w:t>
      </w:r>
      <w:r w:rsidR="00923725">
        <w:rPr>
          <w:rFonts w:eastAsia="SimSun"/>
          <w:lang w:eastAsia="ja-JP"/>
        </w:rPr>
        <w:t>.</w:t>
      </w:r>
    </w:p>
    <w:p w14:paraId="0D0F7A24" w14:textId="1D97D39A" w:rsidR="00270AFE" w:rsidRPr="00BD3297" w:rsidRDefault="00627384" w:rsidP="0004084D">
      <w:pPr>
        <w:pStyle w:val="Observation"/>
        <w:ind w:left="1701" w:hanging="1701"/>
        <w:jc w:val="left"/>
      </w:pPr>
      <w:bookmarkStart w:id="79" w:name="_Toc159245456"/>
      <w:bookmarkStart w:id="80" w:name="_Toc166257161"/>
      <w:bookmarkEnd w:id="75"/>
      <w:r>
        <w:rPr>
          <w:rFonts w:eastAsia="SimSun"/>
        </w:rPr>
        <w:t>T</w:t>
      </w:r>
      <w:r w:rsidR="00746C4B">
        <w:rPr>
          <w:rFonts w:eastAsia="SimSun"/>
        </w:rPr>
        <w:t>he</w:t>
      </w:r>
      <w:r w:rsidR="00270AFE" w:rsidRPr="00BD3297">
        <w:rPr>
          <w:rFonts w:eastAsia="SimSun"/>
        </w:rPr>
        <w:t xml:space="preserve"> </w:t>
      </w:r>
      <w:r w:rsidR="00DC70CB">
        <w:rPr>
          <w:rFonts w:eastAsia="SimSun"/>
        </w:rPr>
        <w:t xml:space="preserve">power of </w:t>
      </w:r>
      <w:r w:rsidR="00270AFE" w:rsidRPr="00BD3297">
        <w:rPr>
          <w:rFonts w:eastAsia="SimSun"/>
        </w:rPr>
        <w:t xml:space="preserve">backscattered </w:t>
      </w:r>
      <w:r w:rsidR="00DC70CB">
        <w:rPr>
          <w:rFonts w:eastAsia="SimSun"/>
        </w:rPr>
        <w:t>PDRCH</w:t>
      </w:r>
      <w:r w:rsidR="00270AFE" w:rsidRPr="00BD3297">
        <w:rPr>
          <w:rFonts w:eastAsia="SimSun"/>
        </w:rPr>
        <w:t xml:space="preserve"> received by </w:t>
      </w:r>
      <w:r w:rsidR="00746C4B">
        <w:rPr>
          <w:rFonts w:eastAsia="SimSun"/>
        </w:rPr>
        <w:t xml:space="preserve">a reader </w:t>
      </w:r>
      <w:r w:rsidR="00270AFE" w:rsidRPr="00BD3297">
        <w:rPr>
          <w:rFonts w:eastAsia="SimSun"/>
        </w:rPr>
        <w:t xml:space="preserve">can </w:t>
      </w:r>
      <w:r w:rsidR="00746C4B">
        <w:rPr>
          <w:rFonts w:eastAsia="SimSun"/>
        </w:rPr>
        <w:t xml:space="preserve">partially </w:t>
      </w:r>
      <w:r w:rsidR="00270AFE" w:rsidRPr="00BD3297">
        <w:rPr>
          <w:rFonts w:eastAsia="SimSun"/>
        </w:rPr>
        <w:t xml:space="preserve">indicate a device’s proximity, which is subject to the propagation loss </w:t>
      </w:r>
      <w:r w:rsidR="00746C4B">
        <w:rPr>
          <w:rFonts w:eastAsia="SimSun"/>
        </w:rPr>
        <w:t>between a</w:t>
      </w:r>
      <w:r w:rsidR="00270AFE" w:rsidRPr="00BD3297">
        <w:rPr>
          <w:rFonts w:eastAsia="SimSun"/>
        </w:rPr>
        <w:t xml:space="preserve"> CW</w:t>
      </w:r>
      <w:r w:rsidR="00746C4B">
        <w:rPr>
          <w:rFonts w:eastAsia="SimSun"/>
        </w:rPr>
        <w:t xml:space="preserve"> node</w:t>
      </w:r>
      <w:r w:rsidR="00270AFE" w:rsidRPr="00BD3297">
        <w:rPr>
          <w:rFonts w:eastAsia="SimSun"/>
        </w:rPr>
        <w:t xml:space="preserve"> </w:t>
      </w:r>
      <w:r w:rsidR="00270AFE">
        <w:rPr>
          <w:rFonts w:eastAsia="SimSun"/>
        </w:rPr>
        <w:t>and</w:t>
      </w:r>
      <w:r w:rsidR="00270AFE" w:rsidRPr="00BD3297">
        <w:rPr>
          <w:rFonts w:eastAsia="SimSun"/>
        </w:rPr>
        <w:t xml:space="preserve"> the device and its </w:t>
      </w:r>
      <w:r w:rsidR="00746C4B">
        <w:rPr>
          <w:rFonts w:eastAsia="SimSun"/>
        </w:rPr>
        <w:t>backscatter</w:t>
      </w:r>
      <w:r w:rsidR="00270AFE" w:rsidRPr="00BD3297">
        <w:rPr>
          <w:rFonts w:eastAsia="SimSun"/>
        </w:rPr>
        <w:t xml:space="preserve"> loss.</w:t>
      </w:r>
      <w:bookmarkEnd w:id="79"/>
      <w:bookmarkEnd w:id="80"/>
    </w:p>
    <w:p w14:paraId="12653CB0" w14:textId="7F780AE2" w:rsidR="00DC70CB" w:rsidRDefault="00923725" w:rsidP="00DC70CB">
      <w:pPr>
        <w:jc w:val="both"/>
        <w:rPr>
          <w:rFonts w:eastAsia="SimSun"/>
          <w:lang w:eastAsia="ja-JP"/>
        </w:rPr>
      </w:pPr>
      <w:r>
        <w:rPr>
          <w:rFonts w:eastAsia="SimSun"/>
          <w:lang w:eastAsia="ja-JP"/>
        </w:rPr>
        <w:t xml:space="preserve">This problem of uncertain backscattered transmission power also applies to Option 1 and was </w:t>
      </w:r>
      <w:r w:rsidR="00DC70CB">
        <w:rPr>
          <w:rFonts w:eastAsia="SimSun"/>
          <w:lang w:eastAsia="ja-JP"/>
        </w:rPr>
        <w:t>added as FFS in the above proposal.</w:t>
      </w:r>
      <w:r>
        <w:rPr>
          <w:rFonts w:eastAsia="SimSun"/>
          <w:lang w:eastAsia="ja-JP"/>
        </w:rPr>
        <w:t xml:space="preserve"> In our view, proximity</w:t>
      </w:r>
      <w:r w:rsidR="007C1730">
        <w:rPr>
          <w:rFonts w:eastAsia="SimSun"/>
          <w:lang w:eastAsia="ja-JP"/>
        </w:rPr>
        <w:t xml:space="preserve"> d</w:t>
      </w:r>
      <w:r w:rsidR="00DC70CB">
        <w:rPr>
          <w:rFonts w:eastAsia="SimSun" w:hint="eastAsia"/>
          <w:lang w:eastAsia="ja-JP"/>
        </w:rPr>
        <w:t>etermination</w:t>
      </w:r>
      <w:r w:rsidR="00DC70CB">
        <w:rPr>
          <w:rFonts w:eastAsia="SimSun"/>
          <w:lang w:eastAsia="ja-JP"/>
        </w:rPr>
        <w:t xml:space="preserve"> based on the presence or received power of a PDRCH should </w:t>
      </w:r>
      <w:r>
        <w:rPr>
          <w:rFonts w:eastAsia="SimSun"/>
          <w:lang w:eastAsia="ja-JP"/>
        </w:rPr>
        <w:t>consider</w:t>
      </w:r>
      <w:r w:rsidR="00DC70CB">
        <w:rPr>
          <w:rFonts w:eastAsia="SimSun"/>
          <w:lang w:eastAsia="ja-JP"/>
        </w:rPr>
        <w:t xml:space="preserve"> the transmission power of </w:t>
      </w:r>
      <w:r w:rsidR="007C1730">
        <w:rPr>
          <w:rFonts w:eastAsia="SimSun"/>
          <w:lang w:eastAsia="ja-JP"/>
        </w:rPr>
        <w:t xml:space="preserve">the </w:t>
      </w:r>
      <w:r w:rsidR="00DC70CB">
        <w:rPr>
          <w:rFonts w:eastAsia="SimSun"/>
          <w:lang w:eastAsia="ja-JP"/>
        </w:rPr>
        <w:t xml:space="preserve">PDRCH. For example, device type can be used as a gross indicator of D2R transmission power, which is subject to </w:t>
      </w:r>
      <w:r w:rsidR="00DC70CB" w:rsidRPr="00D945AC">
        <w:rPr>
          <w:rFonts w:eastAsia="SimSun"/>
          <w:lang w:eastAsia="ja-JP"/>
        </w:rPr>
        <w:t>peak power consumption</w:t>
      </w:r>
      <w:r w:rsidR="00DC70CB">
        <w:rPr>
          <w:rFonts w:eastAsia="SimSun"/>
          <w:lang w:eastAsia="ja-JP"/>
        </w:rPr>
        <w:t>.</w:t>
      </w:r>
      <w:r>
        <w:rPr>
          <w:rFonts w:eastAsia="SimSun"/>
          <w:lang w:eastAsia="ja-JP"/>
        </w:rPr>
        <w:t xml:space="preserve"> </w:t>
      </w:r>
    </w:p>
    <w:p w14:paraId="1E0C7102" w14:textId="2AE599DD" w:rsidR="00712508" w:rsidRPr="001869E4" w:rsidRDefault="007C1730" w:rsidP="0004084D">
      <w:pPr>
        <w:pStyle w:val="Proposal"/>
        <w:numPr>
          <w:ilvl w:val="0"/>
          <w:numId w:val="2"/>
        </w:numPr>
        <w:tabs>
          <w:tab w:val="clear" w:pos="1304"/>
        </w:tabs>
        <w:ind w:left="1701" w:hanging="1701"/>
        <w:jc w:val="left"/>
      </w:pPr>
      <w:bookmarkStart w:id="81" w:name="_Toc166257180"/>
      <w:r>
        <w:rPr>
          <w:rFonts w:eastAsia="SimSun"/>
          <w:lang w:eastAsia="ja-JP"/>
        </w:rPr>
        <w:t>Proximity d</w:t>
      </w:r>
      <w:r>
        <w:rPr>
          <w:rFonts w:eastAsia="SimSun" w:hint="eastAsia"/>
          <w:lang w:eastAsia="ja-JP"/>
        </w:rPr>
        <w:t>etermination</w:t>
      </w:r>
      <w:r>
        <w:rPr>
          <w:rFonts w:eastAsia="SimSun"/>
          <w:lang w:eastAsia="ja-JP"/>
        </w:rPr>
        <w:t xml:space="preserve"> based on the presence or received power of a PDRCH should </w:t>
      </w:r>
      <w:r w:rsidR="00E36C7C">
        <w:rPr>
          <w:rFonts w:eastAsia="SimSun"/>
          <w:lang w:eastAsia="ja-JP"/>
        </w:rPr>
        <w:t>consider</w:t>
      </w:r>
      <w:r>
        <w:rPr>
          <w:rFonts w:eastAsia="SimSun"/>
          <w:lang w:eastAsia="ja-JP"/>
        </w:rPr>
        <w:t xml:space="preserve"> the transmission power of the PDRCH. For example, device type can be used as a gross indicator of D2R transmission power, which is subject to </w:t>
      </w:r>
      <w:r w:rsidRPr="00D945AC">
        <w:rPr>
          <w:rFonts w:eastAsia="SimSun"/>
          <w:lang w:eastAsia="ja-JP"/>
        </w:rPr>
        <w:t>peak power consumption</w:t>
      </w:r>
      <w:r>
        <w:rPr>
          <w:rFonts w:eastAsia="SimSun" w:hint="eastAsia"/>
        </w:rPr>
        <w:t>.</w:t>
      </w:r>
      <w:bookmarkEnd w:id="81"/>
    </w:p>
    <w:p w14:paraId="37EB5693" w14:textId="5B5D4C4B" w:rsidR="00C01F33" w:rsidRPr="00BD3297" w:rsidRDefault="00C01F33" w:rsidP="00B72E23">
      <w:pPr>
        <w:pStyle w:val="Heading1"/>
        <w:numPr>
          <w:ilvl w:val="0"/>
          <w:numId w:val="16"/>
        </w:numPr>
        <w:jc w:val="both"/>
        <w:rPr>
          <w:lang w:val="en-US"/>
        </w:rPr>
      </w:pPr>
      <w:r w:rsidRPr="00B72E23">
        <w:rPr>
          <w:lang w:val="en-US" w:eastAsia="zh-CN"/>
        </w:rPr>
        <w:t>Conclusion</w:t>
      </w:r>
    </w:p>
    <w:p w14:paraId="5A650F21" w14:textId="77777777" w:rsidR="008E065E" w:rsidRPr="00BD3297" w:rsidRDefault="008E065E" w:rsidP="008E065E">
      <w:pPr>
        <w:pStyle w:val="BodyText"/>
        <w:rPr>
          <w:b/>
          <w:bCs/>
        </w:rPr>
      </w:pPr>
      <w:r w:rsidRPr="00BD3297">
        <w:t xml:space="preserve">In </w:t>
      </w:r>
      <w:r w:rsidR="007729A2" w:rsidRPr="00BD3297">
        <w:t xml:space="preserve">the previous </w:t>
      </w:r>
      <w:r w:rsidRPr="00BD3297">
        <w:t>section</w:t>
      </w:r>
      <w:r w:rsidR="007729A2" w:rsidRPr="00BD3297">
        <w:t>s</w:t>
      </w:r>
      <w:r w:rsidRPr="00BD3297">
        <w:t xml:space="preserve"> we made the following observations:</w:t>
      </w:r>
      <w:r w:rsidR="00C93814" w:rsidRPr="00BD3297">
        <w:rPr>
          <w:b/>
          <w:bCs/>
        </w:rPr>
        <w:t xml:space="preserve"> </w:t>
      </w:r>
    </w:p>
    <w:p w14:paraId="2D83ABEF" w14:textId="5A112959" w:rsidR="00846B4E"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BD3297">
        <w:rPr>
          <w:b w:val="0"/>
          <w:bCs/>
        </w:rPr>
        <w:fldChar w:fldCharType="begin"/>
      </w:r>
      <w:r w:rsidRPr="00BD3297">
        <w:rPr>
          <w:b w:val="0"/>
          <w:bCs/>
        </w:rPr>
        <w:instrText xml:space="preserve"> TOC \f O \n \h \z \t "Observation" \c </w:instrText>
      </w:r>
      <w:r w:rsidRPr="00BD3297">
        <w:rPr>
          <w:b w:val="0"/>
          <w:bCs/>
        </w:rPr>
        <w:fldChar w:fldCharType="separate"/>
      </w:r>
      <w:hyperlink w:anchor="_Toc166257140" w:history="1">
        <w:r w:rsidR="00846B4E" w:rsidRPr="00FE02D0">
          <w:rPr>
            <w:rStyle w:val="Hyperlink"/>
            <w:noProof/>
          </w:rPr>
          <w:t>Observation 1</w:t>
        </w:r>
        <w:r w:rsidR="00846B4E">
          <w:rPr>
            <w:rFonts w:asciiTheme="minorHAnsi" w:eastAsiaTheme="minorEastAsia" w:hAnsiTheme="minorHAnsi"/>
            <w:b w:val="0"/>
            <w:noProof/>
            <w:kern w:val="2"/>
            <w:sz w:val="22"/>
            <w:lang w:val="en-SE" w:eastAsia="en-SE"/>
            <w14:ligatures w14:val="standardContextual"/>
          </w:rPr>
          <w:tab/>
        </w:r>
        <w:r w:rsidR="00846B4E" w:rsidRPr="00FE02D0">
          <w:rPr>
            <w:rStyle w:val="Hyperlink"/>
            <w:noProof/>
          </w:rPr>
          <w:t>A start-indicator (delimiter) can be used for A-IoT devices if there is an RF power transfer session before R2D preamble transmission.</w:t>
        </w:r>
      </w:hyperlink>
    </w:p>
    <w:p w14:paraId="2F67B0B7" w14:textId="54773C7C"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41" w:history="1">
        <w:r w:rsidRPr="00FE02D0">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FE02D0">
          <w:rPr>
            <w:rStyle w:val="Hyperlink"/>
            <w:noProof/>
          </w:rPr>
          <w:t>A start-indicator (delimiter) is not needed for A-IoT devices which do not necessarily rely on RF energy harvesting.</w:t>
        </w:r>
      </w:hyperlink>
    </w:p>
    <w:p w14:paraId="37F31B7F" w14:textId="4083DDD9"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42" w:history="1">
        <w:r w:rsidRPr="00FE02D0">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FE02D0">
          <w:rPr>
            <w:rStyle w:val="Hyperlink"/>
            <w:noProof/>
          </w:rPr>
          <w:t>It is not necessary to use line coding in the clock-acquisition signal as a pre-defined OOK sequence with regular ON/OFF transitions can be used as a clock signal.</w:t>
        </w:r>
      </w:hyperlink>
    </w:p>
    <w:p w14:paraId="0472A7C3" w14:textId="1A7E0C36"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43" w:history="1">
        <w:r w:rsidRPr="00FE02D0">
          <w:rPr>
            <w:rStyle w:val="Hyperlink"/>
            <w:noProof/>
            <w:lang w:val="en-GB"/>
          </w:rPr>
          <w:t>Observation 4</w:t>
        </w:r>
        <w:r>
          <w:rPr>
            <w:rFonts w:asciiTheme="minorHAnsi" w:eastAsiaTheme="minorEastAsia" w:hAnsiTheme="minorHAnsi"/>
            <w:b w:val="0"/>
            <w:noProof/>
            <w:kern w:val="2"/>
            <w:sz w:val="22"/>
            <w:lang w:val="en-SE" w:eastAsia="en-SE"/>
            <w14:ligatures w14:val="standardContextual"/>
          </w:rPr>
          <w:tab/>
        </w:r>
        <w:r w:rsidRPr="00FE02D0">
          <w:rPr>
            <w:rStyle w:val="Hyperlink"/>
            <w:noProof/>
            <w:lang w:val="en-GB"/>
          </w:rPr>
          <w:t xml:space="preserve">If the D2R preamble </w:t>
        </w:r>
        <w:r w:rsidRPr="00FE02D0">
          <w:rPr>
            <w:rStyle w:val="Hyperlink"/>
            <w:noProof/>
          </w:rPr>
          <w:t>is</w:t>
        </w:r>
        <w:r w:rsidRPr="00FE02D0">
          <w:rPr>
            <w:rStyle w:val="Hyperlink"/>
            <w:noProof/>
            <w:lang w:val="en-GB"/>
          </w:rPr>
          <w:t xml:space="preserve"> generated by the CW node, both binary and complex sequences can be considered for D2R preamble design.</w:t>
        </w:r>
      </w:hyperlink>
    </w:p>
    <w:p w14:paraId="3D9AA866" w14:textId="5A7EF3C4"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44" w:history="1">
        <w:r w:rsidRPr="00FE02D0">
          <w:rPr>
            <w:rStyle w:val="Hyperlink"/>
            <w:noProof/>
            <w:lang w:val="en-GB"/>
          </w:rPr>
          <w:t>Observation 5</w:t>
        </w:r>
        <w:r>
          <w:rPr>
            <w:rFonts w:asciiTheme="minorHAnsi" w:eastAsiaTheme="minorEastAsia" w:hAnsiTheme="minorHAnsi"/>
            <w:b w:val="0"/>
            <w:noProof/>
            <w:kern w:val="2"/>
            <w:sz w:val="22"/>
            <w:lang w:val="en-SE" w:eastAsia="en-SE"/>
            <w14:ligatures w14:val="standardContextual"/>
          </w:rPr>
          <w:tab/>
        </w:r>
        <w:r w:rsidRPr="00FE02D0">
          <w:rPr>
            <w:rStyle w:val="Hyperlink"/>
            <w:noProof/>
            <w:lang w:val="en-GB"/>
          </w:rPr>
          <w:t>If the D2R preamble is generated by the A-IoT device, binary sequences can be considered for D2R preamble design.</w:t>
        </w:r>
      </w:hyperlink>
    </w:p>
    <w:p w14:paraId="713B329C" w14:textId="524AF38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45" w:history="1">
        <w:r w:rsidRPr="00FE02D0">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FE02D0">
          <w:rPr>
            <w:rStyle w:val="Hyperlink"/>
            <w:noProof/>
          </w:rPr>
          <w:t xml:space="preserve">If the </w:t>
        </w:r>
        <w:r w:rsidRPr="00FE02D0">
          <w:rPr>
            <w:rStyle w:val="Hyperlink"/>
            <w:noProof/>
            <w:lang w:val="en-GB"/>
          </w:rPr>
          <w:t>purpose</w:t>
        </w:r>
        <w:r w:rsidRPr="00FE02D0">
          <w:rPr>
            <w:rStyle w:val="Hyperlink"/>
            <w:noProof/>
          </w:rPr>
          <w:t xml:space="preserve"> of a postamble is to indicate the end of a D2R/R2D transmission, there is no need for an explicit indication through a postamble, if the payload size of the subsequent D2R/R2D data transmission is configured/indicated by readers to devices.</w:t>
        </w:r>
      </w:hyperlink>
    </w:p>
    <w:p w14:paraId="0711778C" w14:textId="21955A4E"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46" w:history="1">
        <w:r w:rsidRPr="00FE02D0">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FE02D0">
          <w:rPr>
            <w:rStyle w:val="Hyperlink"/>
            <w:noProof/>
          </w:rPr>
          <w:t>If the time interval between an R2D transmission and the corresponding D2R transmission following it is too long, devices may lose the timing obtained from the R2D timing acquisition signal due to timing drift at the time for the D2R transmission.</w:t>
        </w:r>
      </w:hyperlink>
    </w:p>
    <w:p w14:paraId="4423E67D" w14:textId="5D6EF031"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47" w:history="1">
        <w:r w:rsidRPr="00FE02D0">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FE02D0">
          <w:rPr>
            <w:rStyle w:val="Hyperlink"/>
            <w:noProof/>
          </w:rPr>
          <w:t>Some R2D control information will be A-IoT device-type agnostic and generally applicable to all device types whereas other may be A-IoT device-type specific.</w:t>
        </w:r>
      </w:hyperlink>
    </w:p>
    <w:p w14:paraId="304E1ED4" w14:textId="485B709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48" w:history="1">
        <w:r w:rsidRPr="00FE02D0">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FE02D0">
          <w:rPr>
            <w:rStyle w:val="Hyperlink"/>
            <w:noProof/>
          </w:rPr>
          <w:t>The R2D control information for A-IoT devices should be designed flexibly to cater to both active and passive device types.</w:t>
        </w:r>
      </w:hyperlink>
    </w:p>
    <w:p w14:paraId="4001878D" w14:textId="1B2091AB"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49" w:history="1">
        <w:r w:rsidRPr="00FE02D0">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FE02D0">
          <w:rPr>
            <w:rStyle w:val="Hyperlink"/>
            <w:noProof/>
          </w:rPr>
          <w:t>Use of control information, preamble partitioning, and scrambling are some of the ways to distinguish between different types of PRDCH.</w:t>
        </w:r>
      </w:hyperlink>
    </w:p>
    <w:p w14:paraId="15BA1294" w14:textId="313425E8"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50" w:history="1">
        <w:r w:rsidRPr="00FE02D0">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FE02D0">
          <w:rPr>
            <w:rStyle w:val="Hyperlink"/>
            <w:noProof/>
          </w:rPr>
          <w:t>PMI and RI will not be needed but a coarse channel quality indicator (e.g., a 1-bit indicator to qualify the channel as “good” or “bad”) can be considered for A-IoT devices.</w:t>
        </w:r>
      </w:hyperlink>
    </w:p>
    <w:p w14:paraId="1E676FE4" w14:textId="48B22E55"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51" w:history="1">
        <w:r w:rsidRPr="00FE02D0">
          <w:rPr>
            <w:rStyle w:val="Hyperlink"/>
            <w:noProof/>
          </w:rPr>
          <w:t>Observation 12</w:t>
        </w:r>
        <w:r>
          <w:rPr>
            <w:rFonts w:asciiTheme="minorHAnsi" w:eastAsiaTheme="minorEastAsia" w:hAnsiTheme="minorHAnsi"/>
            <w:b w:val="0"/>
            <w:noProof/>
            <w:kern w:val="2"/>
            <w:sz w:val="22"/>
            <w:lang w:val="en-SE" w:eastAsia="en-SE"/>
            <w14:ligatures w14:val="standardContextual"/>
          </w:rPr>
          <w:tab/>
        </w:r>
        <w:r w:rsidRPr="00FE02D0">
          <w:rPr>
            <w:rStyle w:val="Hyperlink"/>
            <w:noProof/>
          </w:rPr>
          <w:t>HARQ operation is not supported but a confirmatory response (e.g., using an ACK) for R2D transmission can be considered.</w:t>
        </w:r>
      </w:hyperlink>
    </w:p>
    <w:p w14:paraId="013C332E" w14:textId="2F831850"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52" w:history="1">
        <w:r w:rsidRPr="00FE02D0">
          <w:rPr>
            <w:rStyle w:val="Hyperlink"/>
            <w:noProof/>
          </w:rPr>
          <w:t>Observation 13</w:t>
        </w:r>
        <w:r>
          <w:rPr>
            <w:rFonts w:asciiTheme="minorHAnsi" w:eastAsiaTheme="minorEastAsia" w:hAnsiTheme="minorHAnsi"/>
            <w:b w:val="0"/>
            <w:noProof/>
            <w:kern w:val="2"/>
            <w:sz w:val="22"/>
            <w:lang w:val="en-SE" w:eastAsia="en-SE"/>
            <w14:ligatures w14:val="standardContextual"/>
          </w:rPr>
          <w:tab/>
        </w:r>
        <w:r w:rsidRPr="00FE02D0">
          <w:rPr>
            <w:rStyle w:val="Hyperlink"/>
            <w:noProof/>
          </w:rPr>
          <w:t>To assist the reader with scheduling and resource allocation, the device can indicate the estimated number of PDRCH transmissions that can be supported before requiring a recharge and the estimated time taken by A-IoT device to recharge by harvesting energy.</w:t>
        </w:r>
      </w:hyperlink>
    </w:p>
    <w:p w14:paraId="7D842BC5" w14:textId="203A95A1"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53" w:history="1">
        <w:r w:rsidRPr="00FE02D0">
          <w:rPr>
            <w:rStyle w:val="Hyperlink"/>
            <w:noProof/>
          </w:rPr>
          <w:t>Observation 14</w:t>
        </w:r>
        <w:r>
          <w:rPr>
            <w:rFonts w:asciiTheme="minorHAnsi" w:eastAsiaTheme="minorEastAsia" w:hAnsiTheme="minorHAnsi"/>
            <w:b w:val="0"/>
            <w:noProof/>
            <w:kern w:val="2"/>
            <w:sz w:val="22"/>
            <w:lang w:val="en-SE" w:eastAsia="en-SE"/>
            <w14:ligatures w14:val="standardContextual"/>
          </w:rPr>
          <w:tab/>
        </w:r>
        <w:r w:rsidRPr="00FE02D0">
          <w:rPr>
            <w:rStyle w:val="Hyperlink"/>
            <w:noProof/>
          </w:rPr>
          <w:t>Not all D2R control information needs to be supported by all device types.</w:t>
        </w:r>
      </w:hyperlink>
    </w:p>
    <w:p w14:paraId="52903062" w14:textId="29AAA4F8"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54" w:history="1">
        <w:r w:rsidRPr="00FE02D0">
          <w:rPr>
            <w:rStyle w:val="Hyperlink"/>
            <w:noProof/>
          </w:rPr>
          <w:t>Observation 15</w:t>
        </w:r>
        <w:r>
          <w:rPr>
            <w:rFonts w:asciiTheme="minorHAnsi" w:eastAsiaTheme="minorEastAsia" w:hAnsiTheme="minorHAnsi"/>
            <w:b w:val="0"/>
            <w:noProof/>
            <w:kern w:val="2"/>
            <w:sz w:val="22"/>
            <w:lang w:val="en-SE" w:eastAsia="en-SE"/>
            <w14:ligatures w14:val="standardContextual"/>
          </w:rPr>
          <w:tab/>
        </w:r>
        <w:r w:rsidRPr="00FE02D0">
          <w:rPr>
            <w:rStyle w:val="Hyperlink"/>
            <w:noProof/>
          </w:rPr>
          <w:t>UL message size for inventory reporting is in the range of 144-408 bits assuming the application-level device ID (EPC-like ID) of 96-256 bits.</w:t>
        </w:r>
      </w:hyperlink>
    </w:p>
    <w:p w14:paraId="009D02BC" w14:textId="76F39376"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55" w:history="1">
        <w:r w:rsidRPr="00FE02D0">
          <w:rPr>
            <w:rStyle w:val="Hyperlink"/>
            <w:noProof/>
          </w:rPr>
          <w:t>Observation 16</w:t>
        </w:r>
        <w:r>
          <w:rPr>
            <w:rFonts w:asciiTheme="minorHAnsi" w:eastAsiaTheme="minorEastAsia" w:hAnsiTheme="minorHAnsi"/>
            <w:b w:val="0"/>
            <w:noProof/>
            <w:kern w:val="2"/>
            <w:sz w:val="22"/>
            <w:lang w:val="en-SE" w:eastAsia="en-SE"/>
            <w14:ligatures w14:val="standardContextual"/>
          </w:rPr>
          <w:tab/>
        </w:r>
        <w:r w:rsidRPr="00FE02D0">
          <w:rPr>
            <w:rStyle w:val="Hyperlink"/>
            <w:noProof/>
          </w:rPr>
          <w:t>DL message size for command use case can be up to 944 bits assuming a 100-byte DL command.</w:t>
        </w:r>
      </w:hyperlink>
    </w:p>
    <w:p w14:paraId="227EA5B0" w14:textId="68566952"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56" w:history="1">
        <w:r w:rsidRPr="00FE02D0">
          <w:rPr>
            <w:rStyle w:val="Hyperlink"/>
            <w:noProof/>
          </w:rPr>
          <w:t>Observation 17</w:t>
        </w:r>
        <w:r>
          <w:rPr>
            <w:rFonts w:asciiTheme="minorHAnsi" w:eastAsiaTheme="minorEastAsia" w:hAnsiTheme="minorHAnsi"/>
            <w:b w:val="0"/>
            <w:noProof/>
            <w:kern w:val="2"/>
            <w:sz w:val="22"/>
            <w:lang w:val="en-SE" w:eastAsia="en-SE"/>
            <w14:ligatures w14:val="standardContextual"/>
          </w:rPr>
          <w:tab/>
        </w:r>
        <w:r w:rsidRPr="00FE02D0">
          <w:rPr>
            <w:rStyle w:val="Hyperlink"/>
            <w:noProof/>
          </w:rPr>
          <w:t>The maximum TB size will depend on whether messages can be segmented into multiple smaller transport blocks or not.</w:t>
        </w:r>
      </w:hyperlink>
    </w:p>
    <w:p w14:paraId="6FA71E0A" w14:textId="42005EAC"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57" w:history="1">
        <w:r w:rsidRPr="00FE02D0">
          <w:rPr>
            <w:rStyle w:val="Hyperlink"/>
            <w:rFonts w:eastAsia="SimSun"/>
            <w:noProof/>
          </w:rPr>
          <w:t>Observation 18</w:t>
        </w:r>
        <w:r>
          <w:rPr>
            <w:rFonts w:asciiTheme="minorHAnsi" w:eastAsiaTheme="minorEastAsia" w:hAnsiTheme="minorHAnsi"/>
            <w:b w:val="0"/>
            <w:noProof/>
            <w:kern w:val="2"/>
            <w:sz w:val="22"/>
            <w:lang w:val="en-SE" w:eastAsia="en-SE"/>
            <w14:ligatures w14:val="standardContextual"/>
          </w:rPr>
          <w:tab/>
        </w:r>
        <w:r w:rsidRPr="00FE02D0">
          <w:rPr>
            <w:rStyle w:val="Hyperlink"/>
            <w:noProof/>
          </w:rPr>
          <w:t>Proximity threshold, namely the dividing line between near and far, depends on the use cases of proximity determination. From coverage perspective, the proximity threshold between near and far is analogous to cell center and cell edge.</w:t>
        </w:r>
      </w:hyperlink>
    </w:p>
    <w:p w14:paraId="79384773" w14:textId="6B1E8C04"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58" w:history="1">
        <w:r w:rsidRPr="00FE02D0">
          <w:rPr>
            <w:rStyle w:val="Hyperlink"/>
            <w:rFonts w:eastAsia="SimSun"/>
            <w:noProof/>
          </w:rPr>
          <w:t>Observation 19</w:t>
        </w:r>
        <w:r>
          <w:rPr>
            <w:rFonts w:asciiTheme="minorHAnsi" w:eastAsiaTheme="minorEastAsia" w:hAnsiTheme="minorHAnsi"/>
            <w:b w:val="0"/>
            <w:noProof/>
            <w:kern w:val="2"/>
            <w:sz w:val="22"/>
            <w:lang w:val="en-SE" w:eastAsia="en-SE"/>
            <w14:ligatures w14:val="standardContextual"/>
          </w:rPr>
          <w:tab/>
        </w:r>
        <w:r w:rsidRPr="00FE02D0">
          <w:rPr>
            <w:rStyle w:val="Hyperlink"/>
            <w:rFonts w:eastAsia="SimSun"/>
            <w:noProof/>
          </w:rPr>
          <w:t xml:space="preserve">With Option 1, proximity determination is triggered by a PRDCH, such as </w:t>
        </w:r>
        <w:r w:rsidRPr="00FE02D0">
          <w:rPr>
            <w:rStyle w:val="Hyperlink"/>
            <w:rFonts w:eastAsia="SimSun"/>
            <w:noProof/>
            <w:lang w:val="en-GB"/>
          </w:rPr>
          <w:t>an inventory query command or a unicast PRDCH.</w:t>
        </w:r>
      </w:hyperlink>
    </w:p>
    <w:p w14:paraId="7F19F8E4" w14:textId="0CBAA719"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59" w:history="1">
        <w:r w:rsidRPr="00FE02D0">
          <w:rPr>
            <w:rStyle w:val="Hyperlink"/>
            <w:rFonts w:eastAsia="SimSun"/>
            <w:noProof/>
          </w:rPr>
          <w:t>Observation 20</w:t>
        </w:r>
        <w:r>
          <w:rPr>
            <w:rFonts w:asciiTheme="minorHAnsi" w:eastAsiaTheme="minorEastAsia" w:hAnsiTheme="minorHAnsi"/>
            <w:b w:val="0"/>
            <w:noProof/>
            <w:kern w:val="2"/>
            <w:sz w:val="22"/>
            <w:lang w:val="en-SE" w:eastAsia="en-SE"/>
            <w14:ligatures w14:val="standardContextual"/>
          </w:rPr>
          <w:tab/>
        </w:r>
        <w:r w:rsidRPr="00FE02D0">
          <w:rPr>
            <w:rStyle w:val="Hyperlink"/>
            <w:rFonts w:eastAsia="SimSun"/>
            <w:noProof/>
            <w:lang w:val="en-GB"/>
          </w:rPr>
          <w:t>With Option 1, if PDRCH from a device is not successfully received by a reader, it would not be considered as near, for example in the case of collision of PDRCH from multiple devices or imbalanced D2R and R2D coverage.</w:t>
        </w:r>
      </w:hyperlink>
    </w:p>
    <w:p w14:paraId="226E353F" w14:textId="44DFF422"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60" w:history="1">
        <w:r w:rsidRPr="00FE02D0">
          <w:rPr>
            <w:rStyle w:val="Hyperlink"/>
            <w:rFonts w:eastAsia="SimSun"/>
            <w:noProof/>
          </w:rPr>
          <w:t>Observation 21</w:t>
        </w:r>
        <w:r>
          <w:rPr>
            <w:rFonts w:asciiTheme="minorHAnsi" w:eastAsiaTheme="minorEastAsia" w:hAnsiTheme="minorHAnsi"/>
            <w:b w:val="0"/>
            <w:noProof/>
            <w:kern w:val="2"/>
            <w:sz w:val="22"/>
            <w:lang w:val="en-SE" w:eastAsia="en-SE"/>
            <w14:ligatures w14:val="standardContextual"/>
          </w:rPr>
          <w:tab/>
        </w:r>
        <w:r w:rsidRPr="00FE02D0">
          <w:rPr>
            <w:rStyle w:val="Hyperlink"/>
            <w:rFonts w:eastAsia="SimSun"/>
            <w:noProof/>
            <w:lang w:val="en-GB"/>
          </w:rPr>
          <w:t>With different transmission power of PRDCH for proximity determination, a reader can estimate the distribution of devices.</w:t>
        </w:r>
      </w:hyperlink>
    </w:p>
    <w:p w14:paraId="78FD7372" w14:textId="0EEA8539"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61" w:history="1">
        <w:r w:rsidRPr="00FE02D0">
          <w:rPr>
            <w:rStyle w:val="Hyperlink"/>
            <w:noProof/>
          </w:rPr>
          <w:t>Observation 22</w:t>
        </w:r>
        <w:r>
          <w:rPr>
            <w:rFonts w:asciiTheme="minorHAnsi" w:eastAsiaTheme="minorEastAsia" w:hAnsiTheme="minorHAnsi"/>
            <w:b w:val="0"/>
            <w:noProof/>
            <w:kern w:val="2"/>
            <w:sz w:val="22"/>
            <w:lang w:val="en-SE" w:eastAsia="en-SE"/>
            <w14:ligatures w14:val="standardContextual"/>
          </w:rPr>
          <w:tab/>
        </w:r>
        <w:r w:rsidRPr="00FE02D0">
          <w:rPr>
            <w:rStyle w:val="Hyperlink"/>
            <w:rFonts w:eastAsia="SimSun"/>
            <w:noProof/>
          </w:rPr>
          <w:t>The power of backscattered PDRCH received by a reader can partially indicate a device’s proximity, which is subject to the propagation loss between a CW node and the device and its backscatter loss.</w:t>
        </w:r>
      </w:hyperlink>
    </w:p>
    <w:p w14:paraId="7D91EC5D" w14:textId="2E42DA25" w:rsidR="006E1C82" w:rsidRPr="00BD3297" w:rsidRDefault="006F6582" w:rsidP="008E065E">
      <w:pPr>
        <w:pStyle w:val="BodyText"/>
        <w:rPr>
          <w:b/>
          <w:bCs/>
        </w:rPr>
      </w:pPr>
      <w:r w:rsidRPr="00BD3297">
        <w:rPr>
          <w:b/>
          <w:bCs/>
        </w:rPr>
        <w:fldChar w:fldCharType="end"/>
      </w:r>
    </w:p>
    <w:p w14:paraId="6225A1B8" w14:textId="77777777" w:rsidR="006E1C82" w:rsidRPr="00BD3297" w:rsidRDefault="008E065E" w:rsidP="006E1C82">
      <w:pPr>
        <w:pStyle w:val="BodyText"/>
      </w:pPr>
      <w:r w:rsidRPr="00BD3297">
        <w:t xml:space="preserve">Based on the discussion in </w:t>
      </w:r>
      <w:r w:rsidR="007729A2" w:rsidRPr="00BD3297">
        <w:t xml:space="preserve">the previous </w:t>
      </w:r>
      <w:r w:rsidRPr="00BD3297">
        <w:t>section</w:t>
      </w:r>
      <w:r w:rsidR="007729A2" w:rsidRPr="00BD3297">
        <w:t>s</w:t>
      </w:r>
      <w:r w:rsidRPr="00BD3297">
        <w:t xml:space="preserve"> we propose the following:</w:t>
      </w:r>
    </w:p>
    <w:p w14:paraId="4FA412DF" w14:textId="77777777" w:rsidR="00846B4E"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BD3297">
        <w:rPr>
          <w:b w:val="0"/>
          <w:bCs/>
        </w:rPr>
        <w:fldChar w:fldCharType="begin"/>
      </w:r>
      <w:r w:rsidRPr="00BD3297">
        <w:rPr>
          <w:b w:val="0"/>
          <w:bCs/>
        </w:rPr>
        <w:instrText xml:space="preserve"> TOC \n \h \z \t "Proposal" \c </w:instrText>
      </w:r>
      <w:r w:rsidRPr="00BD3297">
        <w:rPr>
          <w:b w:val="0"/>
          <w:bCs/>
        </w:rPr>
        <w:fldChar w:fldCharType="separate"/>
      </w:r>
      <w:hyperlink w:anchor="_Toc166257162" w:history="1">
        <w:r w:rsidR="00846B4E" w:rsidRPr="00101161">
          <w:rPr>
            <w:rStyle w:val="Hyperlink"/>
            <w:noProof/>
          </w:rPr>
          <w:t>Proposal 1</w:t>
        </w:r>
        <w:r w:rsidR="00846B4E">
          <w:rPr>
            <w:rFonts w:asciiTheme="minorHAnsi" w:eastAsiaTheme="minorEastAsia" w:hAnsiTheme="minorHAnsi"/>
            <w:b w:val="0"/>
            <w:noProof/>
            <w:kern w:val="2"/>
            <w:sz w:val="22"/>
            <w:lang w:val="en-SE" w:eastAsia="en-SE"/>
            <w14:ligatures w14:val="standardContextual"/>
          </w:rPr>
          <w:tab/>
        </w:r>
        <w:r w:rsidR="00846B4E" w:rsidRPr="00101161">
          <w:rPr>
            <w:rStyle w:val="Hyperlink"/>
            <w:noProof/>
          </w:rPr>
          <w:t>Start-indicator part can be optional for some A-IoT devices.</w:t>
        </w:r>
      </w:hyperlink>
    </w:p>
    <w:p w14:paraId="6474C9D4"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63" w:history="1">
        <w:r w:rsidRPr="00101161">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101161">
          <w:rPr>
            <w:rStyle w:val="Hyperlink"/>
            <w:noProof/>
          </w:rPr>
          <w:t>Clock-acquisition signal can be based on pre-defined OOK sequences.</w:t>
        </w:r>
      </w:hyperlink>
    </w:p>
    <w:p w14:paraId="6F6FBB88"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64" w:history="1">
        <w:r w:rsidRPr="00101161">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101161">
          <w:rPr>
            <w:rStyle w:val="Hyperlink"/>
            <w:noProof/>
          </w:rPr>
          <w:t>If an R2D preamble transmission is followed by R2D control information, the chip duration can be indicated using the R2D control information.</w:t>
        </w:r>
      </w:hyperlink>
    </w:p>
    <w:p w14:paraId="2C7A315D"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65" w:history="1">
        <w:r w:rsidRPr="00101161">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101161">
          <w:rPr>
            <w:rStyle w:val="Hyperlink"/>
            <w:noProof/>
          </w:rPr>
          <w:t>RAN1 to study if CFO correction can be acquired using the timing acquisition signal for all A-IoT device architectures.</w:t>
        </w:r>
      </w:hyperlink>
    </w:p>
    <w:p w14:paraId="66C4986C"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66" w:history="1">
        <w:r w:rsidRPr="00101161">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101161">
          <w:rPr>
            <w:rStyle w:val="Hyperlink"/>
            <w:noProof/>
          </w:rPr>
          <w:t>RAN1 to define the design criteria for selecting D2R preamble such as the number of sequences in the sequence set, the sequence length, and the desired auto- and cross-correlation properties.</w:t>
        </w:r>
      </w:hyperlink>
    </w:p>
    <w:p w14:paraId="1F1846B2"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67" w:history="1">
        <w:r w:rsidRPr="00101161">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101161">
          <w:rPr>
            <w:rStyle w:val="Hyperlink"/>
            <w:noProof/>
          </w:rPr>
          <w:t>RAN1 to decide if D2R preamble is generated by the A-IoT device or the reader/CWT.</w:t>
        </w:r>
      </w:hyperlink>
    </w:p>
    <w:p w14:paraId="015CDDE1"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68" w:history="1">
        <w:r w:rsidRPr="00101161">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101161">
          <w:rPr>
            <w:rStyle w:val="Hyperlink"/>
            <w:noProof/>
          </w:rPr>
          <w:t>For D2R transmission, midambles should not be precluded as they can help the reader track the device’s timing amid timing drift and perform channel estimation.</w:t>
        </w:r>
      </w:hyperlink>
    </w:p>
    <w:p w14:paraId="62B8B197"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69" w:history="1">
        <w:r w:rsidRPr="00101161">
          <w:rPr>
            <w:rStyle w:val="Hyperlink"/>
            <w:noProof/>
          </w:rPr>
          <w:t>Proposal 8</w:t>
        </w:r>
        <w:r>
          <w:rPr>
            <w:rFonts w:asciiTheme="minorHAnsi" w:eastAsiaTheme="minorEastAsia" w:hAnsiTheme="minorHAnsi"/>
            <w:b w:val="0"/>
            <w:noProof/>
            <w:kern w:val="2"/>
            <w:sz w:val="22"/>
            <w:lang w:val="en-SE" w:eastAsia="en-SE"/>
            <w14:ligatures w14:val="standardContextual"/>
          </w:rPr>
          <w:tab/>
        </w:r>
        <w:r w:rsidRPr="00101161">
          <w:rPr>
            <w:rStyle w:val="Hyperlink"/>
            <w:noProof/>
          </w:rPr>
          <w:t>RAN1 to study whether a PRDCH postamble can serve as an additional timing acquisition signal prior to a PDRCH transmission depending on the device’s timing capability.</w:t>
        </w:r>
      </w:hyperlink>
    </w:p>
    <w:p w14:paraId="6281D82E"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70" w:history="1">
        <w:r w:rsidRPr="00101161">
          <w:rPr>
            <w:rStyle w:val="Hyperlink"/>
            <w:noProof/>
          </w:rPr>
          <w:t>Proposal 9</w:t>
        </w:r>
        <w:r>
          <w:rPr>
            <w:rFonts w:asciiTheme="minorHAnsi" w:eastAsiaTheme="minorEastAsia" w:hAnsiTheme="minorHAnsi"/>
            <w:b w:val="0"/>
            <w:noProof/>
            <w:kern w:val="2"/>
            <w:sz w:val="22"/>
            <w:lang w:val="en-SE" w:eastAsia="en-SE"/>
            <w14:ligatures w14:val="standardContextual"/>
          </w:rPr>
          <w:tab/>
        </w:r>
        <w:r w:rsidRPr="00101161">
          <w:rPr>
            <w:rStyle w:val="Hyperlink"/>
            <w:noProof/>
          </w:rPr>
          <w:t>Study periodic and aperiodic synchronization signals for A-IoT devices.</w:t>
        </w:r>
      </w:hyperlink>
    </w:p>
    <w:p w14:paraId="2A4F385A"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71" w:history="1">
        <w:r w:rsidRPr="00101161">
          <w:rPr>
            <w:rStyle w:val="Hyperlink"/>
            <w:noProof/>
          </w:rPr>
          <w:t>Proposal 10</w:t>
        </w:r>
        <w:r>
          <w:rPr>
            <w:rFonts w:asciiTheme="minorHAnsi" w:eastAsiaTheme="minorEastAsia" w:hAnsiTheme="minorHAnsi"/>
            <w:b w:val="0"/>
            <w:noProof/>
            <w:kern w:val="2"/>
            <w:sz w:val="22"/>
            <w:lang w:val="en-SE" w:eastAsia="en-SE"/>
            <w14:ligatures w14:val="standardContextual"/>
          </w:rPr>
          <w:tab/>
        </w:r>
        <w:r w:rsidRPr="00101161">
          <w:rPr>
            <w:rStyle w:val="Hyperlink"/>
            <w:noProof/>
          </w:rPr>
          <w:t>If a certain control information has a fixed payload length, it can be transmitted using physical layer signaling. If it is optional or has a variable payload length, it can be transmitted using higher layer signaling.</w:t>
        </w:r>
      </w:hyperlink>
    </w:p>
    <w:p w14:paraId="3C318DCB"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72" w:history="1">
        <w:r w:rsidRPr="00101161">
          <w:rPr>
            <w:rStyle w:val="Hyperlink"/>
            <w:noProof/>
          </w:rPr>
          <w:t>Proposal 11</w:t>
        </w:r>
        <w:r>
          <w:rPr>
            <w:rFonts w:asciiTheme="minorHAnsi" w:eastAsiaTheme="minorEastAsia" w:hAnsiTheme="minorHAnsi"/>
            <w:b w:val="0"/>
            <w:noProof/>
            <w:kern w:val="2"/>
            <w:sz w:val="22"/>
            <w:lang w:val="en-SE" w:eastAsia="en-SE"/>
            <w14:ligatures w14:val="standardContextual"/>
          </w:rPr>
          <w:tab/>
        </w:r>
        <w:r w:rsidRPr="00101161">
          <w:rPr>
            <w:rStyle w:val="Hyperlink"/>
            <w:noProof/>
          </w:rPr>
          <w:t>RAN1 to discuss whether to reuse PRDCH or to define a dedicated channel for transmitting R2D control information to A-IoT devices.</w:t>
        </w:r>
      </w:hyperlink>
    </w:p>
    <w:p w14:paraId="541967F5"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73" w:history="1">
        <w:r w:rsidRPr="00101161">
          <w:rPr>
            <w:rStyle w:val="Hyperlink"/>
            <w:noProof/>
          </w:rPr>
          <w:t>Proposal 12</w:t>
        </w:r>
        <w:r>
          <w:rPr>
            <w:rFonts w:asciiTheme="minorHAnsi" w:eastAsiaTheme="minorEastAsia" w:hAnsiTheme="minorHAnsi"/>
            <w:b w:val="0"/>
            <w:noProof/>
            <w:kern w:val="2"/>
            <w:sz w:val="22"/>
            <w:lang w:val="en-SE" w:eastAsia="en-SE"/>
            <w14:ligatures w14:val="standardContextual"/>
          </w:rPr>
          <w:tab/>
        </w:r>
        <w:r w:rsidRPr="00101161">
          <w:rPr>
            <w:rStyle w:val="Hyperlink"/>
            <w:noProof/>
          </w:rPr>
          <w:t>RAN1 to discuss how to transmit and distinguish between the different types of information (e.g., SI, control, and data) on PRDCH.</w:t>
        </w:r>
      </w:hyperlink>
    </w:p>
    <w:p w14:paraId="6DB5F938"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74" w:history="1">
        <w:r w:rsidRPr="00101161">
          <w:rPr>
            <w:rStyle w:val="Hyperlink"/>
            <w:noProof/>
          </w:rPr>
          <w:t>Proposal 13</w:t>
        </w:r>
        <w:r>
          <w:rPr>
            <w:rFonts w:asciiTheme="minorHAnsi" w:eastAsiaTheme="minorEastAsia" w:hAnsiTheme="minorHAnsi"/>
            <w:b w:val="0"/>
            <w:noProof/>
            <w:kern w:val="2"/>
            <w:sz w:val="22"/>
            <w:lang w:val="en-SE" w:eastAsia="en-SE"/>
            <w14:ligatures w14:val="standardContextual"/>
          </w:rPr>
          <w:tab/>
        </w:r>
        <w:r w:rsidRPr="00101161">
          <w:rPr>
            <w:rStyle w:val="Hyperlink"/>
            <w:noProof/>
          </w:rPr>
          <w:t>The control/system information can be transmitted using unicast, multicast and broadcast.</w:t>
        </w:r>
      </w:hyperlink>
    </w:p>
    <w:p w14:paraId="7926C3AA"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75" w:history="1">
        <w:r w:rsidRPr="00101161">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101161">
          <w:rPr>
            <w:rStyle w:val="Hyperlink"/>
            <w:noProof/>
          </w:rPr>
          <w:t>RAN1 to discuss the potential R2D control information for PRDCH and PDRCH that needs to be transmitted for each A-IoT device type such as time domain and frequency domain resource allocation, TBS, MCS (coding rate), modulation related information, repetition configuration, device type, device ID, group ID, cast type, reader ID.</w:t>
        </w:r>
      </w:hyperlink>
    </w:p>
    <w:p w14:paraId="5F2D475E"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76" w:history="1">
        <w:r w:rsidRPr="00101161">
          <w:rPr>
            <w:rStyle w:val="Hyperlink"/>
            <w:noProof/>
          </w:rPr>
          <w:t>Proposal 15</w:t>
        </w:r>
        <w:r>
          <w:rPr>
            <w:rFonts w:asciiTheme="minorHAnsi" w:eastAsiaTheme="minorEastAsia" w:hAnsiTheme="minorHAnsi"/>
            <w:b w:val="0"/>
            <w:noProof/>
            <w:kern w:val="2"/>
            <w:sz w:val="22"/>
            <w:lang w:val="en-SE" w:eastAsia="en-SE"/>
            <w14:ligatures w14:val="standardContextual"/>
          </w:rPr>
          <w:tab/>
        </w:r>
        <w:r w:rsidRPr="00101161">
          <w:rPr>
            <w:rStyle w:val="Hyperlink"/>
            <w:noProof/>
          </w:rPr>
          <w:t>RAN1 to discuss the potential D2R control information that needs to be transmitted for each A-IoT device type.</w:t>
        </w:r>
      </w:hyperlink>
    </w:p>
    <w:p w14:paraId="6717CFAA"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77" w:history="1">
        <w:r w:rsidRPr="00101161">
          <w:rPr>
            <w:rStyle w:val="Hyperlink"/>
            <w:noProof/>
          </w:rPr>
          <w:t>Proposal 16</w:t>
        </w:r>
        <w:r>
          <w:rPr>
            <w:rFonts w:asciiTheme="minorHAnsi" w:eastAsiaTheme="minorEastAsia" w:hAnsiTheme="minorHAnsi"/>
            <w:b w:val="0"/>
            <w:noProof/>
            <w:kern w:val="2"/>
            <w:sz w:val="22"/>
            <w:lang w:val="en-SE" w:eastAsia="en-SE"/>
            <w14:ligatures w14:val="standardContextual"/>
          </w:rPr>
          <w:tab/>
        </w:r>
        <w:r w:rsidRPr="00101161">
          <w:rPr>
            <w:rStyle w:val="Hyperlink"/>
            <w:noProof/>
          </w:rPr>
          <w:t>D2R control information transmitted by A-IoT devices can be carried by PDRCH.</w:t>
        </w:r>
      </w:hyperlink>
    </w:p>
    <w:p w14:paraId="1786A9E4"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78" w:history="1">
        <w:r w:rsidRPr="00101161">
          <w:rPr>
            <w:rStyle w:val="Hyperlink"/>
            <w:noProof/>
          </w:rPr>
          <w:t>Proposal 17</w:t>
        </w:r>
        <w:r>
          <w:rPr>
            <w:rFonts w:asciiTheme="minorHAnsi" w:eastAsiaTheme="minorEastAsia" w:hAnsiTheme="minorHAnsi"/>
            <w:b w:val="0"/>
            <w:noProof/>
            <w:kern w:val="2"/>
            <w:sz w:val="22"/>
            <w:lang w:val="en-SE" w:eastAsia="en-SE"/>
            <w14:ligatures w14:val="standardContextual"/>
          </w:rPr>
          <w:tab/>
        </w:r>
        <w:r w:rsidRPr="00101161">
          <w:rPr>
            <w:rStyle w:val="Hyperlink"/>
            <w:noProof/>
          </w:rPr>
          <w:t>RAN1 to wait for coverage evaluation results before discussing the possible values for TB size.</w:t>
        </w:r>
      </w:hyperlink>
    </w:p>
    <w:p w14:paraId="24305058"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79" w:history="1">
        <w:r w:rsidRPr="00101161">
          <w:rPr>
            <w:rStyle w:val="Hyperlink"/>
            <w:noProof/>
          </w:rPr>
          <w:t>Proposal 18</w:t>
        </w:r>
        <w:r>
          <w:rPr>
            <w:rFonts w:asciiTheme="minorHAnsi" w:eastAsiaTheme="minorEastAsia" w:hAnsiTheme="minorHAnsi"/>
            <w:b w:val="0"/>
            <w:noProof/>
            <w:kern w:val="2"/>
            <w:sz w:val="22"/>
            <w:lang w:val="en-SE" w:eastAsia="en-SE"/>
            <w14:ligatures w14:val="standardContextual"/>
          </w:rPr>
          <w:tab/>
        </w:r>
        <w:r w:rsidRPr="00101161">
          <w:rPr>
            <w:rStyle w:val="Hyperlink"/>
            <w:noProof/>
          </w:rPr>
          <w:t>RAN1 to clarify the use case of proximity determination and the proximity range.</w:t>
        </w:r>
      </w:hyperlink>
    </w:p>
    <w:p w14:paraId="6C870281" w14:textId="77777777" w:rsidR="00846B4E" w:rsidRDefault="00846B4E">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6257180" w:history="1">
        <w:r w:rsidRPr="00101161">
          <w:rPr>
            <w:rStyle w:val="Hyperlink"/>
            <w:noProof/>
          </w:rPr>
          <w:t>Proposal 19</w:t>
        </w:r>
        <w:r>
          <w:rPr>
            <w:rFonts w:asciiTheme="minorHAnsi" w:eastAsiaTheme="minorEastAsia" w:hAnsiTheme="minorHAnsi"/>
            <w:b w:val="0"/>
            <w:noProof/>
            <w:kern w:val="2"/>
            <w:sz w:val="22"/>
            <w:lang w:val="en-SE" w:eastAsia="en-SE"/>
            <w14:ligatures w14:val="standardContextual"/>
          </w:rPr>
          <w:tab/>
        </w:r>
        <w:r w:rsidRPr="00101161">
          <w:rPr>
            <w:rStyle w:val="Hyperlink"/>
            <w:rFonts w:eastAsia="SimSun"/>
            <w:noProof/>
            <w:lang w:eastAsia="ja-JP"/>
          </w:rPr>
          <w:t>Proximity determination based on the presence or received power of a PDRCH should consider the transmission power of the PDRCH. For example, device type can be used as a gross indicator of D2R transmission power, which is subject to peak power consumption</w:t>
        </w:r>
        <w:r w:rsidRPr="00101161">
          <w:rPr>
            <w:rStyle w:val="Hyperlink"/>
            <w:rFonts w:eastAsia="SimSun"/>
            <w:noProof/>
          </w:rPr>
          <w:t>.</w:t>
        </w:r>
      </w:hyperlink>
    </w:p>
    <w:p w14:paraId="71D79D99" w14:textId="1277F418" w:rsidR="00F507D1" w:rsidRPr="00BD3297" w:rsidRDefault="006E1C82" w:rsidP="00CE0424">
      <w:pPr>
        <w:pStyle w:val="Heading1"/>
        <w:rPr>
          <w:lang w:val="en-US"/>
        </w:rPr>
      </w:pPr>
      <w:r w:rsidRPr="00BD3297">
        <w:rPr>
          <w:b/>
          <w:bCs/>
          <w:lang w:val="en-US" w:eastAsia="zh-CN"/>
        </w:rPr>
        <w:lastRenderedPageBreak/>
        <w:fldChar w:fldCharType="end"/>
      </w:r>
      <w:r w:rsidR="00F507D1" w:rsidRPr="00BD3297">
        <w:rPr>
          <w:lang w:val="en-US"/>
        </w:rPr>
        <w:t>References</w:t>
      </w:r>
    </w:p>
    <w:bookmarkStart w:id="82" w:name="_Hlk162257946"/>
    <w:bookmarkStart w:id="83" w:name="_Ref155949857"/>
    <w:bookmarkStart w:id="84" w:name="_Ref161349906"/>
    <w:bookmarkStart w:id="85" w:name="_Ref174151459"/>
    <w:bookmarkStart w:id="86" w:name="_Ref189809556"/>
    <w:p w14:paraId="1B453FAF" w14:textId="338364E9" w:rsidR="004909AC" w:rsidRPr="002914EA" w:rsidRDefault="004909AC" w:rsidP="004909AC">
      <w:pPr>
        <w:pStyle w:val="Reference"/>
        <w:jc w:val="left"/>
      </w:pPr>
      <w:r w:rsidRPr="002914EA">
        <w:fldChar w:fldCharType="begin"/>
      </w:r>
      <w:r>
        <w:instrText>HYPERLINK "https://www.3gpp.org/ftp/tsg_ran/TSG_RAN/TSGR_103/Docs/RP-240826.zip"</w:instrText>
      </w:r>
      <w:r w:rsidRPr="002914EA">
        <w:fldChar w:fldCharType="separate"/>
      </w:r>
      <w:r>
        <w:rPr>
          <w:rStyle w:val="Hyperlink"/>
        </w:rPr>
        <w:t>RP-240826</w:t>
      </w:r>
      <w:r w:rsidRPr="002914EA">
        <w:fldChar w:fldCharType="end"/>
      </w:r>
      <w:bookmarkEnd w:id="82"/>
      <w:r w:rsidRPr="002914EA">
        <w:t>, “</w:t>
      </w:r>
      <w:r>
        <w:t>Revised</w:t>
      </w:r>
      <w:r w:rsidRPr="002914EA">
        <w:t xml:space="preserve"> SID: Study on solutions for Ambient IoT (Internet of Things) in NR”, </w:t>
      </w:r>
      <w:r>
        <w:t xml:space="preserve">CMCC, </w:t>
      </w:r>
      <w:r w:rsidRPr="002914EA">
        <w:t>Huawei</w:t>
      </w:r>
      <w:r>
        <w:t>, T-Mobile USA</w:t>
      </w:r>
      <w:r w:rsidRPr="002914EA">
        <w:t>, RAN#10</w:t>
      </w:r>
      <w:r>
        <w:t>3</w:t>
      </w:r>
      <w:r w:rsidRPr="002914EA">
        <w:t xml:space="preserve">, </w:t>
      </w:r>
      <w:r>
        <w:t>March 2024</w:t>
      </w:r>
      <w:r w:rsidRPr="002914EA">
        <w:t>.</w:t>
      </w:r>
      <w:bookmarkEnd w:id="83"/>
    </w:p>
    <w:bookmarkStart w:id="87" w:name="_Ref163234355"/>
    <w:p w14:paraId="7AF05B50" w14:textId="0ADDC0F5" w:rsidR="003E1FC5" w:rsidRPr="00CE0424" w:rsidRDefault="00111390" w:rsidP="003E1FC5">
      <w:pPr>
        <w:pStyle w:val="Reference"/>
        <w:jc w:val="left"/>
      </w:pPr>
      <w:r>
        <w:fldChar w:fldCharType="begin"/>
      </w:r>
      <w:r>
        <w:instrText>HYPERLINK "https://www.3gpp.org/ftp/tsg_ran/WG1_RL1/TSGR1_116/Docs/R1-2400328.zip"</w:instrText>
      </w:r>
      <w:r>
        <w:fldChar w:fldCharType="separate"/>
      </w:r>
      <w:r w:rsidR="003E1FC5" w:rsidRPr="004125E3">
        <w:rPr>
          <w:rStyle w:val="Hyperlink"/>
        </w:rPr>
        <w:t>R1-2400328</w:t>
      </w:r>
      <w:r>
        <w:rPr>
          <w:rStyle w:val="Hyperlink"/>
        </w:rPr>
        <w:fldChar w:fldCharType="end"/>
      </w:r>
      <w:r w:rsidR="003E1FC5">
        <w:t>, “</w:t>
      </w:r>
      <w:r w:rsidR="003E1FC5" w:rsidRPr="004125E3">
        <w:t>Ambient IoT Study Item work plan</w:t>
      </w:r>
      <w:r w:rsidR="003E1FC5">
        <w:t>”, CMCC, Huawei, T-Mobile USA, RAN1#116, February 2024.</w:t>
      </w:r>
      <w:bookmarkEnd w:id="84"/>
      <w:bookmarkEnd w:id="87"/>
    </w:p>
    <w:bookmarkStart w:id="88" w:name="_Ref161349911"/>
    <w:bookmarkStart w:id="89" w:name="_Ref155950015"/>
    <w:p w14:paraId="71EC0FDC" w14:textId="1DFA7060" w:rsidR="003E1FC5" w:rsidRPr="00CE0424" w:rsidRDefault="003E1FC5" w:rsidP="003E1FC5">
      <w:pPr>
        <w:pStyle w:val="Reference"/>
        <w:jc w:val="left"/>
      </w:pPr>
      <w:r>
        <w:fldChar w:fldCharType="begin"/>
      </w:r>
      <w:r>
        <w:instrText>HYPERLINK "https://www.3gpp.org/ftp/tsg_ran/WG1_RL1/TSGR1_116/Docs/R1-2401795.zip"</w:instrText>
      </w:r>
      <w:r>
        <w:fldChar w:fldCharType="separate"/>
      </w:r>
      <w:r>
        <w:rPr>
          <w:rStyle w:val="Hyperlink"/>
        </w:rPr>
        <w:t>R1-2401795</w:t>
      </w:r>
      <w:r>
        <w:fldChar w:fldCharType="end"/>
      </w:r>
      <w:r>
        <w:t>, “</w:t>
      </w:r>
      <w:r w:rsidRPr="009D12C8">
        <w:t>Skeleton for TR 38.769 “Study on Solutions for Ambient IoT (Internet of Things)” v0.0.1</w:t>
      </w:r>
      <w:r>
        <w:t>”, Huawei (TR editor), RAN1#116, February 2024.</w:t>
      </w:r>
      <w:bookmarkEnd w:id="88"/>
    </w:p>
    <w:bookmarkStart w:id="90" w:name="_Ref161349949"/>
    <w:p w14:paraId="0829583F" w14:textId="63F1E352" w:rsidR="003E1FC5" w:rsidRDefault="003E1FC5" w:rsidP="003E1FC5">
      <w:pPr>
        <w:pStyle w:val="Reference"/>
        <w:jc w:val="left"/>
      </w:pPr>
      <w:r>
        <w:fldChar w:fldCharType="begin"/>
      </w:r>
      <w:r>
        <w:instrText>HYPERLINK "https://www.3gpp.org/ftp/Specs/archive/38_series/38.848/38848-i00.zip"</w:instrText>
      </w:r>
      <w:r>
        <w:fldChar w:fldCharType="separate"/>
      </w:r>
      <w:r w:rsidRPr="00A91EDA">
        <w:rPr>
          <w:rStyle w:val="Hyperlink"/>
        </w:rPr>
        <w:t>TR 38.848 V18.0.0</w:t>
      </w:r>
      <w:r>
        <w:rPr>
          <w:rStyle w:val="Hyperlink"/>
        </w:rPr>
        <w:fldChar w:fldCharType="end"/>
      </w:r>
      <w:r w:rsidRPr="00CE0424">
        <w:t xml:space="preserve">, </w:t>
      </w:r>
      <w:r>
        <w:t>“</w:t>
      </w:r>
      <w:r w:rsidRPr="00A91EDA">
        <w:t>Study on Ambient IoT (Internet of Things) in RAN</w:t>
      </w:r>
      <w:r>
        <w:t xml:space="preserve"> (Release 18)”</w:t>
      </w:r>
      <w:r w:rsidRPr="00CE0424">
        <w:t xml:space="preserve">, </w:t>
      </w:r>
      <w:r>
        <w:t>3GPP</w:t>
      </w:r>
      <w:r w:rsidRPr="00CE0424">
        <w:t xml:space="preserve">, </w:t>
      </w:r>
      <w:r>
        <w:t>September 2023.</w:t>
      </w:r>
      <w:bookmarkEnd w:id="85"/>
      <w:bookmarkEnd w:id="86"/>
      <w:bookmarkEnd w:id="89"/>
      <w:bookmarkEnd w:id="90"/>
    </w:p>
    <w:bookmarkStart w:id="91" w:name="_Ref166059390"/>
    <w:p w14:paraId="1ACEE5C2" w14:textId="4E65BD77" w:rsidR="001C25A6" w:rsidRPr="00BD3297" w:rsidRDefault="001F402E" w:rsidP="000A23A7">
      <w:pPr>
        <w:pStyle w:val="Reference"/>
        <w:jc w:val="left"/>
      </w:pPr>
      <w:r>
        <w:fldChar w:fldCharType="begin"/>
      </w:r>
      <w:r>
        <w:instrText>HYPERLINK "https://www.3gpp.org/ftp/tsg_ran/WG2_RL2/TSGR2_125bis/Docs/R2-2402950.zip"</w:instrText>
      </w:r>
      <w:r>
        <w:fldChar w:fldCharType="separate"/>
      </w:r>
      <w:r w:rsidR="001C25A6" w:rsidRPr="001F402E">
        <w:rPr>
          <w:rStyle w:val="Hyperlink"/>
        </w:rPr>
        <w:t>R2-2402950</w:t>
      </w:r>
      <w:r>
        <w:fldChar w:fldCharType="end"/>
      </w:r>
      <w:r w:rsidR="00A95E1C">
        <w:t xml:space="preserve">, </w:t>
      </w:r>
      <w:r w:rsidR="001A21B9">
        <w:t>“</w:t>
      </w:r>
      <w:r w:rsidR="00546E10" w:rsidRPr="00546E10">
        <w:t>User plane protocol and data transmission options for Ambient IoT</w:t>
      </w:r>
      <w:r w:rsidR="001A21B9">
        <w:t>”</w:t>
      </w:r>
      <w:r w:rsidR="00A95E1C">
        <w:t>, Ericsson, RAN2</w:t>
      </w:r>
      <w:r w:rsidR="001A21B9">
        <w:t xml:space="preserve">#125bis, </w:t>
      </w:r>
      <w:r w:rsidR="00A95E1C">
        <w:t>April 2024.</w:t>
      </w:r>
      <w:bookmarkEnd w:id="91"/>
    </w:p>
    <w:sectPr w:rsidR="001C25A6" w:rsidRPr="00BD3297"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3253C" w14:textId="77777777" w:rsidR="001F1BDC" w:rsidRDefault="001F1BDC">
      <w:r>
        <w:separator/>
      </w:r>
    </w:p>
  </w:endnote>
  <w:endnote w:type="continuationSeparator" w:id="0">
    <w:p w14:paraId="355962F5" w14:textId="77777777" w:rsidR="001F1BDC" w:rsidRDefault="001F1BDC">
      <w:r>
        <w:continuationSeparator/>
      </w:r>
    </w:p>
  </w:endnote>
  <w:endnote w:type="continuationNotice" w:id="1">
    <w:p w14:paraId="52873B23" w14:textId="77777777" w:rsidR="001F1BDC" w:rsidRDefault="001F1B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A7664" w14:textId="77777777" w:rsidR="001F1BDC" w:rsidRDefault="001F1BDC">
      <w:r>
        <w:separator/>
      </w:r>
    </w:p>
  </w:footnote>
  <w:footnote w:type="continuationSeparator" w:id="0">
    <w:p w14:paraId="0FF22909" w14:textId="77777777" w:rsidR="001F1BDC" w:rsidRDefault="001F1BDC">
      <w:r>
        <w:continuationSeparator/>
      </w:r>
    </w:p>
  </w:footnote>
  <w:footnote w:type="continuationNotice" w:id="1">
    <w:p w14:paraId="6BB4C410" w14:textId="77777777" w:rsidR="001F1BDC" w:rsidRDefault="001F1B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7B3378"/>
    <w:multiLevelType w:val="hybridMultilevel"/>
    <w:tmpl w:val="2BB64AAE"/>
    <w:lvl w:ilvl="0" w:tplc="7C729D26">
      <w:start w:val="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4"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591829"/>
    <w:multiLevelType w:val="multilevel"/>
    <w:tmpl w:val="1D59182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122E43"/>
    <w:multiLevelType w:val="hybridMultilevel"/>
    <w:tmpl w:val="1AEAD3DE"/>
    <w:lvl w:ilvl="0" w:tplc="CEC4EC70">
      <w:start w:val="5"/>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BE203D"/>
    <w:multiLevelType w:val="multilevel"/>
    <w:tmpl w:val="25BE20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9" w15:restartNumberingAfterBreak="0">
    <w:nsid w:val="26CD5060"/>
    <w:multiLevelType w:val="multilevel"/>
    <w:tmpl w:val="26CD5060"/>
    <w:lvl w:ilvl="0">
      <w:start w:val="1"/>
      <w:numFmt w:val="bullet"/>
      <w:lvlText w:val=""/>
      <w:lvlJc w:val="left"/>
      <w:pPr>
        <w:ind w:left="25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E137A5"/>
    <w:multiLevelType w:val="hybridMultilevel"/>
    <w:tmpl w:val="361AD456"/>
    <w:lvl w:ilvl="0" w:tplc="26E6A65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400C57"/>
    <w:multiLevelType w:val="hybridMultilevel"/>
    <w:tmpl w:val="4882F6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E1C0B6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5B7B07"/>
    <w:multiLevelType w:val="hybridMultilevel"/>
    <w:tmpl w:val="FB826F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960B36"/>
    <w:multiLevelType w:val="multilevel"/>
    <w:tmpl w:val="4B960B36"/>
    <w:lvl w:ilvl="0">
      <w:start w:val="1"/>
      <w:numFmt w:val="bullet"/>
      <w:lvlText w:val=""/>
      <w:lvlJc w:val="left"/>
      <w:pPr>
        <w:ind w:left="72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0"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5E4345C"/>
    <w:lvl w:ilvl="0" w:tplc="0FDE178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3B47D2"/>
    <w:multiLevelType w:val="hybridMultilevel"/>
    <w:tmpl w:val="261C54C6"/>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2CA25EB"/>
    <w:multiLevelType w:val="multilevel"/>
    <w:tmpl w:val="C324F6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570E4C"/>
    <w:multiLevelType w:val="hybridMultilevel"/>
    <w:tmpl w:val="70DC08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B007DD7"/>
    <w:multiLevelType w:val="multilevel"/>
    <w:tmpl w:val="987C5196"/>
    <w:lvl w:ilvl="0">
      <w:start w:val="1"/>
      <w:numFmt w:val="decimal"/>
      <w:lvlText w:val="%1"/>
      <w:lvlJc w:val="left"/>
      <w:pPr>
        <w:ind w:left="1140" w:hanging="1140"/>
      </w:pPr>
      <w:rPr>
        <w:rFonts w:hint="default"/>
      </w:rPr>
    </w:lvl>
    <w:lvl w:ilvl="1">
      <w:start w:val="1"/>
      <w:numFmt w:val="decimal"/>
      <w:isLgl/>
      <w:lvlText w:val="%1.%2"/>
      <w:lvlJc w:val="left"/>
      <w:pPr>
        <w:ind w:left="534" w:hanging="53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7E3169FE"/>
    <w:multiLevelType w:val="multilevel"/>
    <w:tmpl w:val="03B485CA"/>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57714569">
    <w:abstractNumId w:val="21"/>
  </w:num>
  <w:num w:numId="2" w16cid:durableId="785778956">
    <w:abstractNumId w:val="16"/>
  </w:num>
  <w:num w:numId="3" w16cid:durableId="569314228">
    <w:abstractNumId w:val="0"/>
  </w:num>
  <w:num w:numId="4" w16cid:durableId="434524614">
    <w:abstractNumId w:val="23"/>
  </w:num>
  <w:num w:numId="5" w16cid:durableId="1624310990">
    <w:abstractNumId w:val="24"/>
  </w:num>
  <w:num w:numId="6" w16cid:durableId="1446196451">
    <w:abstractNumId w:val="26"/>
  </w:num>
  <w:num w:numId="7" w16cid:durableId="849638381">
    <w:abstractNumId w:val="7"/>
  </w:num>
  <w:num w:numId="8" w16cid:durableId="527333231">
    <w:abstractNumId w:val="10"/>
  </w:num>
  <w:num w:numId="9" w16cid:durableId="2119828894">
    <w:abstractNumId w:val="2"/>
  </w:num>
  <w:num w:numId="10" w16cid:durableId="242378249">
    <w:abstractNumId w:val="31"/>
  </w:num>
  <w:num w:numId="11" w16cid:durableId="183639465">
    <w:abstractNumId w:val="14"/>
  </w:num>
  <w:num w:numId="12" w16cid:durableId="602500269">
    <w:abstractNumId w:val="29"/>
  </w:num>
  <w:num w:numId="13" w16cid:durableId="2087991027">
    <w:abstractNumId w:val="30"/>
  </w:num>
  <w:num w:numId="14" w16cid:durableId="1278219667">
    <w:abstractNumId w:val="6"/>
  </w:num>
  <w:num w:numId="15" w16cid:durableId="1511799732">
    <w:abstractNumId w:val="22"/>
  </w:num>
  <w:num w:numId="16" w16cid:durableId="1335648130">
    <w:abstractNumId w:val="32"/>
  </w:num>
  <w:num w:numId="17" w16cid:durableId="93209266">
    <w:abstractNumId w:val="15"/>
  </w:num>
  <w:num w:numId="18" w16cid:durableId="1731030545">
    <w:abstractNumId w:val="12"/>
  </w:num>
  <w:num w:numId="19" w16cid:durableId="1950358099">
    <w:abstractNumId w:val="25"/>
  </w:num>
  <w:num w:numId="20" w16cid:durableId="1107850463">
    <w:abstractNumId w:val="3"/>
  </w:num>
  <w:num w:numId="21" w16cid:durableId="237907722">
    <w:abstractNumId w:val="34"/>
  </w:num>
  <w:num w:numId="22" w16cid:durableId="1443381494">
    <w:abstractNumId w:val="18"/>
  </w:num>
  <w:num w:numId="23" w16cid:durableId="1968658956">
    <w:abstractNumId w:val="1"/>
  </w:num>
  <w:num w:numId="24" w16cid:durableId="1491169174">
    <w:abstractNumId w:val="13"/>
  </w:num>
  <w:num w:numId="25" w16cid:durableId="108203140">
    <w:abstractNumId w:val="9"/>
  </w:num>
  <w:num w:numId="26" w16cid:durableId="1204711021">
    <w:abstractNumId w:val="11"/>
  </w:num>
  <w:num w:numId="27" w16cid:durableId="750079457">
    <w:abstractNumId w:val="20"/>
  </w:num>
  <w:num w:numId="28" w16cid:durableId="2139570000">
    <w:abstractNumId w:val="19"/>
  </w:num>
  <w:num w:numId="29" w16cid:durableId="436142273">
    <w:abstractNumId w:val="17"/>
  </w:num>
  <w:num w:numId="30" w16cid:durableId="565650244">
    <w:abstractNumId w:val="28"/>
  </w:num>
  <w:num w:numId="31" w16cid:durableId="487864345">
    <w:abstractNumId w:val="11"/>
  </w:num>
  <w:num w:numId="32" w16cid:durableId="2090154938">
    <w:abstractNumId w:val="20"/>
  </w:num>
  <w:num w:numId="33" w16cid:durableId="1394546715">
    <w:abstractNumId w:val="3"/>
  </w:num>
  <w:num w:numId="34" w16cid:durableId="113136930">
    <w:abstractNumId w:val="8"/>
  </w:num>
  <w:num w:numId="35" w16cid:durableId="1196850108">
    <w:abstractNumId w:val="5"/>
  </w:num>
  <w:num w:numId="36" w16cid:durableId="1375694660">
    <w:abstractNumId w:val="33"/>
  </w:num>
  <w:num w:numId="37" w16cid:durableId="1364357488">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5485921">
    <w:abstractNumId w:val="3"/>
  </w:num>
  <w:num w:numId="39" w16cid:durableId="183053925">
    <w:abstractNumId w:val="27"/>
  </w:num>
  <w:num w:numId="40" w16cid:durableId="1861972855">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E33"/>
    <w:rsid w:val="00003FB1"/>
    <w:rsid w:val="0000482C"/>
    <w:rsid w:val="0000564C"/>
    <w:rsid w:val="00005771"/>
    <w:rsid w:val="000058BD"/>
    <w:rsid w:val="00006446"/>
    <w:rsid w:val="00006896"/>
    <w:rsid w:val="00007CDC"/>
    <w:rsid w:val="00007DD3"/>
    <w:rsid w:val="00010336"/>
    <w:rsid w:val="00010AEC"/>
    <w:rsid w:val="00010E39"/>
    <w:rsid w:val="00010EE6"/>
    <w:rsid w:val="00011B28"/>
    <w:rsid w:val="00011C02"/>
    <w:rsid w:val="000123F8"/>
    <w:rsid w:val="00012B7D"/>
    <w:rsid w:val="00015366"/>
    <w:rsid w:val="00015D15"/>
    <w:rsid w:val="000171E2"/>
    <w:rsid w:val="00020435"/>
    <w:rsid w:val="00022081"/>
    <w:rsid w:val="00022D86"/>
    <w:rsid w:val="00023195"/>
    <w:rsid w:val="0002348A"/>
    <w:rsid w:val="0002368E"/>
    <w:rsid w:val="00024497"/>
    <w:rsid w:val="000246D6"/>
    <w:rsid w:val="0002564D"/>
    <w:rsid w:val="0002587B"/>
    <w:rsid w:val="00025ECA"/>
    <w:rsid w:val="00027226"/>
    <w:rsid w:val="00027EE0"/>
    <w:rsid w:val="000325B8"/>
    <w:rsid w:val="00032693"/>
    <w:rsid w:val="000332B3"/>
    <w:rsid w:val="0003385B"/>
    <w:rsid w:val="00034C15"/>
    <w:rsid w:val="0003653E"/>
    <w:rsid w:val="00036BA1"/>
    <w:rsid w:val="000378C8"/>
    <w:rsid w:val="00040017"/>
    <w:rsid w:val="0004084D"/>
    <w:rsid w:val="00041260"/>
    <w:rsid w:val="000422E2"/>
    <w:rsid w:val="00042738"/>
    <w:rsid w:val="00042BE4"/>
    <w:rsid w:val="00042F22"/>
    <w:rsid w:val="000440DF"/>
    <w:rsid w:val="00044475"/>
    <w:rsid w:val="000444EF"/>
    <w:rsid w:val="00045283"/>
    <w:rsid w:val="00046E9E"/>
    <w:rsid w:val="000501B1"/>
    <w:rsid w:val="00050B4B"/>
    <w:rsid w:val="000519C5"/>
    <w:rsid w:val="00052A07"/>
    <w:rsid w:val="00052D61"/>
    <w:rsid w:val="000534E3"/>
    <w:rsid w:val="00054F36"/>
    <w:rsid w:val="0005606A"/>
    <w:rsid w:val="000563E8"/>
    <w:rsid w:val="00057117"/>
    <w:rsid w:val="000616E7"/>
    <w:rsid w:val="00062560"/>
    <w:rsid w:val="00062575"/>
    <w:rsid w:val="00062ABF"/>
    <w:rsid w:val="000637FE"/>
    <w:rsid w:val="000647D3"/>
    <w:rsid w:val="0006487E"/>
    <w:rsid w:val="00064CC8"/>
    <w:rsid w:val="00065E1A"/>
    <w:rsid w:val="00070554"/>
    <w:rsid w:val="00071324"/>
    <w:rsid w:val="00071885"/>
    <w:rsid w:val="00071C4C"/>
    <w:rsid w:val="000725B7"/>
    <w:rsid w:val="00072755"/>
    <w:rsid w:val="000729BB"/>
    <w:rsid w:val="00072A7D"/>
    <w:rsid w:val="00076504"/>
    <w:rsid w:val="00077E5F"/>
    <w:rsid w:val="0008036A"/>
    <w:rsid w:val="00081AE6"/>
    <w:rsid w:val="000821C1"/>
    <w:rsid w:val="000824DE"/>
    <w:rsid w:val="00082F95"/>
    <w:rsid w:val="000831CF"/>
    <w:rsid w:val="0008372C"/>
    <w:rsid w:val="00083C0B"/>
    <w:rsid w:val="00084815"/>
    <w:rsid w:val="000848ED"/>
    <w:rsid w:val="000855EB"/>
    <w:rsid w:val="00085B52"/>
    <w:rsid w:val="000866F2"/>
    <w:rsid w:val="0008690F"/>
    <w:rsid w:val="00086D62"/>
    <w:rsid w:val="000877F5"/>
    <w:rsid w:val="00087F68"/>
    <w:rsid w:val="0009009F"/>
    <w:rsid w:val="000901B5"/>
    <w:rsid w:val="000906E9"/>
    <w:rsid w:val="000907D1"/>
    <w:rsid w:val="00091557"/>
    <w:rsid w:val="000924C1"/>
    <w:rsid w:val="000924F0"/>
    <w:rsid w:val="0009296B"/>
    <w:rsid w:val="0009321F"/>
    <w:rsid w:val="00093474"/>
    <w:rsid w:val="0009510F"/>
    <w:rsid w:val="000955AF"/>
    <w:rsid w:val="00097638"/>
    <w:rsid w:val="000A1B7B"/>
    <w:rsid w:val="000A23A7"/>
    <w:rsid w:val="000A2810"/>
    <w:rsid w:val="000A31F1"/>
    <w:rsid w:val="000A34C7"/>
    <w:rsid w:val="000A3B97"/>
    <w:rsid w:val="000A56F2"/>
    <w:rsid w:val="000A7472"/>
    <w:rsid w:val="000B03C4"/>
    <w:rsid w:val="000B06DC"/>
    <w:rsid w:val="000B21D7"/>
    <w:rsid w:val="000B2719"/>
    <w:rsid w:val="000B305A"/>
    <w:rsid w:val="000B3413"/>
    <w:rsid w:val="000B37ED"/>
    <w:rsid w:val="000B3A8F"/>
    <w:rsid w:val="000B3AA9"/>
    <w:rsid w:val="000B4179"/>
    <w:rsid w:val="000B4586"/>
    <w:rsid w:val="000B4AB9"/>
    <w:rsid w:val="000B4F1A"/>
    <w:rsid w:val="000B58C3"/>
    <w:rsid w:val="000B61E9"/>
    <w:rsid w:val="000B717C"/>
    <w:rsid w:val="000B7B20"/>
    <w:rsid w:val="000B7C8B"/>
    <w:rsid w:val="000C165A"/>
    <w:rsid w:val="000C211D"/>
    <w:rsid w:val="000C2E19"/>
    <w:rsid w:val="000C326B"/>
    <w:rsid w:val="000C55AD"/>
    <w:rsid w:val="000C592A"/>
    <w:rsid w:val="000C7651"/>
    <w:rsid w:val="000C76AE"/>
    <w:rsid w:val="000D0D07"/>
    <w:rsid w:val="000D117E"/>
    <w:rsid w:val="000D166B"/>
    <w:rsid w:val="000D2293"/>
    <w:rsid w:val="000D2369"/>
    <w:rsid w:val="000D2C7C"/>
    <w:rsid w:val="000D307F"/>
    <w:rsid w:val="000D3580"/>
    <w:rsid w:val="000D430A"/>
    <w:rsid w:val="000D4797"/>
    <w:rsid w:val="000D55AC"/>
    <w:rsid w:val="000D5B6D"/>
    <w:rsid w:val="000D6B3F"/>
    <w:rsid w:val="000D6D58"/>
    <w:rsid w:val="000D7000"/>
    <w:rsid w:val="000D79B7"/>
    <w:rsid w:val="000E0527"/>
    <w:rsid w:val="000E0A9B"/>
    <w:rsid w:val="000E0AE8"/>
    <w:rsid w:val="000E1047"/>
    <w:rsid w:val="000E1E38"/>
    <w:rsid w:val="000E1E92"/>
    <w:rsid w:val="000E21D7"/>
    <w:rsid w:val="000E3011"/>
    <w:rsid w:val="000E360D"/>
    <w:rsid w:val="000E3856"/>
    <w:rsid w:val="000E3C28"/>
    <w:rsid w:val="000F06D6"/>
    <w:rsid w:val="000F0D6F"/>
    <w:rsid w:val="000F0EB1"/>
    <w:rsid w:val="000F1106"/>
    <w:rsid w:val="000F2AA7"/>
    <w:rsid w:val="000F2E4D"/>
    <w:rsid w:val="000F3534"/>
    <w:rsid w:val="000F37B7"/>
    <w:rsid w:val="000F3BE9"/>
    <w:rsid w:val="000F3F6C"/>
    <w:rsid w:val="000F459C"/>
    <w:rsid w:val="000F4EA8"/>
    <w:rsid w:val="000F5B4C"/>
    <w:rsid w:val="000F65C8"/>
    <w:rsid w:val="000F6BA8"/>
    <w:rsid w:val="000F6D3A"/>
    <w:rsid w:val="000F6DF3"/>
    <w:rsid w:val="000F7752"/>
    <w:rsid w:val="001005FF"/>
    <w:rsid w:val="0010279C"/>
    <w:rsid w:val="00102952"/>
    <w:rsid w:val="00103169"/>
    <w:rsid w:val="00103612"/>
    <w:rsid w:val="001062FB"/>
    <w:rsid w:val="001063E6"/>
    <w:rsid w:val="00110C97"/>
    <w:rsid w:val="00110E58"/>
    <w:rsid w:val="00111390"/>
    <w:rsid w:val="00113CF4"/>
    <w:rsid w:val="0011415E"/>
    <w:rsid w:val="00114280"/>
    <w:rsid w:val="001147B0"/>
    <w:rsid w:val="00114982"/>
    <w:rsid w:val="001153EA"/>
    <w:rsid w:val="00115643"/>
    <w:rsid w:val="00115A61"/>
    <w:rsid w:val="00116256"/>
    <w:rsid w:val="00116765"/>
    <w:rsid w:val="00116E24"/>
    <w:rsid w:val="00117F1E"/>
    <w:rsid w:val="001214D8"/>
    <w:rsid w:val="001219F5"/>
    <w:rsid w:val="00121A20"/>
    <w:rsid w:val="00121DAD"/>
    <w:rsid w:val="001220BA"/>
    <w:rsid w:val="001221BB"/>
    <w:rsid w:val="001226FE"/>
    <w:rsid w:val="0012377F"/>
    <w:rsid w:val="00123B06"/>
    <w:rsid w:val="00124314"/>
    <w:rsid w:val="00124900"/>
    <w:rsid w:val="00125CA9"/>
    <w:rsid w:val="001262AD"/>
    <w:rsid w:val="00126B4A"/>
    <w:rsid w:val="00126FBD"/>
    <w:rsid w:val="001308C3"/>
    <w:rsid w:val="001308EF"/>
    <w:rsid w:val="001318F4"/>
    <w:rsid w:val="00132C30"/>
    <w:rsid w:val="00132FD0"/>
    <w:rsid w:val="00133722"/>
    <w:rsid w:val="00133D47"/>
    <w:rsid w:val="001344C0"/>
    <w:rsid w:val="001346FA"/>
    <w:rsid w:val="00135252"/>
    <w:rsid w:val="00135997"/>
    <w:rsid w:val="001359B1"/>
    <w:rsid w:val="00135B37"/>
    <w:rsid w:val="00135BA0"/>
    <w:rsid w:val="00137AB5"/>
    <w:rsid w:val="00137F0B"/>
    <w:rsid w:val="001411CA"/>
    <w:rsid w:val="0014131C"/>
    <w:rsid w:val="0014144A"/>
    <w:rsid w:val="00142502"/>
    <w:rsid w:val="00143163"/>
    <w:rsid w:val="001455E2"/>
    <w:rsid w:val="00145F05"/>
    <w:rsid w:val="001468FB"/>
    <w:rsid w:val="00146E08"/>
    <w:rsid w:val="00147971"/>
    <w:rsid w:val="0015002B"/>
    <w:rsid w:val="00151E23"/>
    <w:rsid w:val="001526E0"/>
    <w:rsid w:val="0015307A"/>
    <w:rsid w:val="0015324C"/>
    <w:rsid w:val="00153A3B"/>
    <w:rsid w:val="00153DD8"/>
    <w:rsid w:val="00154DEE"/>
    <w:rsid w:val="001551B5"/>
    <w:rsid w:val="0015613F"/>
    <w:rsid w:val="0016013D"/>
    <w:rsid w:val="00160B4A"/>
    <w:rsid w:val="0016173A"/>
    <w:rsid w:val="00163D88"/>
    <w:rsid w:val="001658ED"/>
    <w:rsid w:val="001659C1"/>
    <w:rsid w:val="00167552"/>
    <w:rsid w:val="0017004B"/>
    <w:rsid w:val="0017081A"/>
    <w:rsid w:val="001723A7"/>
    <w:rsid w:val="00172945"/>
    <w:rsid w:val="00173531"/>
    <w:rsid w:val="00173A8E"/>
    <w:rsid w:val="00173BC2"/>
    <w:rsid w:val="00173E0B"/>
    <w:rsid w:val="0017502C"/>
    <w:rsid w:val="00176D9D"/>
    <w:rsid w:val="00177C33"/>
    <w:rsid w:val="00177DBC"/>
    <w:rsid w:val="001800C2"/>
    <w:rsid w:val="0018143F"/>
    <w:rsid w:val="00181FF8"/>
    <w:rsid w:val="00182415"/>
    <w:rsid w:val="00182601"/>
    <w:rsid w:val="00183C93"/>
    <w:rsid w:val="00183EB4"/>
    <w:rsid w:val="001850DA"/>
    <w:rsid w:val="00185644"/>
    <w:rsid w:val="001869E4"/>
    <w:rsid w:val="0018727F"/>
    <w:rsid w:val="00190AC1"/>
    <w:rsid w:val="00190BBE"/>
    <w:rsid w:val="001928B7"/>
    <w:rsid w:val="0019341A"/>
    <w:rsid w:val="001936E3"/>
    <w:rsid w:val="0019436F"/>
    <w:rsid w:val="0019459C"/>
    <w:rsid w:val="0019492F"/>
    <w:rsid w:val="00194DD7"/>
    <w:rsid w:val="0019503A"/>
    <w:rsid w:val="00195DF5"/>
    <w:rsid w:val="00197521"/>
    <w:rsid w:val="00197DF9"/>
    <w:rsid w:val="001A0D67"/>
    <w:rsid w:val="001A0E6D"/>
    <w:rsid w:val="001A0FB5"/>
    <w:rsid w:val="001A1987"/>
    <w:rsid w:val="001A1F07"/>
    <w:rsid w:val="001A21B9"/>
    <w:rsid w:val="001A2564"/>
    <w:rsid w:val="001A3493"/>
    <w:rsid w:val="001A35BB"/>
    <w:rsid w:val="001A4103"/>
    <w:rsid w:val="001A6173"/>
    <w:rsid w:val="001A6CBA"/>
    <w:rsid w:val="001A7B51"/>
    <w:rsid w:val="001B030A"/>
    <w:rsid w:val="001B073A"/>
    <w:rsid w:val="001B0D97"/>
    <w:rsid w:val="001B1507"/>
    <w:rsid w:val="001B19E5"/>
    <w:rsid w:val="001B5982"/>
    <w:rsid w:val="001B5A5D"/>
    <w:rsid w:val="001B5C0D"/>
    <w:rsid w:val="001B6F4D"/>
    <w:rsid w:val="001B74F8"/>
    <w:rsid w:val="001B7C1B"/>
    <w:rsid w:val="001C0817"/>
    <w:rsid w:val="001C1C96"/>
    <w:rsid w:val="001C1CE5"/>
    <w:rsid w:val="001C25A6"/>
    <w:rsid w:val="001C2D82"/>
    <w:rsid w:val="001C2F5B"/>
    <w:rsid w:val="001C3052"/>
    <w:rsid w:val="001C3D2A"/>
    <w:rsid w:val="001C450E"/>
    <w:rsid w:val="001C5A77"/>
    <w:rsid w:val="001C5B8A"/>
    <w:rsid w:val="001C6969"/>
    <w:rsid w:val="001C6CF0"/>
    <w:rsid w:val="001C7ED6"/>
    <w:rsid w:val="001D054E"/>
    <w:rsid w:val="001D115E"/>
    <w:rsid w:val="001D4071"/>
    <w:rsid w:val="001D4C21"/>
    <w:rsid w:val="001D51BA"/>
    <w:rsid w:val="001D53E7"/>
    <w:rsid w:val="001D606F"/>
    <w:rsid w:val="001D6342"/>
    <w:rsid w:val="001D6D53"/>
    <w:rsid w:val="001E154C"/>
    <w:rsid w:val="001E1C8D"/>
    <w:rsid w:val="001E2545"/>
    <w:rsid w:val="001E3668"/>
    <w:rsid w:val="001E37BA"/>
    <w:rsid w:val="001E40AE"/>
    <w:rsid w:val="001E4DE0"/>
    <w:rsid w:val="001E4FF7"/>
    <w:rsid w:val="001E58E2"/>
    <w:rsid w:val="001E74FF"/>
    <w:rsid w:val="001E779A"/>
    <w:rsid w:val="001E7AED"/>
    <w:rsid w:val="001E7C1B"/>
    <w:rsid w:val="001F14FD"/>
    <w:rsid w:val="001F1A01"/>
    <w:rsid w:val="001F1BDC"/>
    <w:rsid w:val="001F3916"/>
    <w:rsid w:val="001F402E"/>
    <w:rsid w:val="001F4DED"/>
    <w:rsid w:val="001F54C5"/>
    <w:rsid w:val="001F60A7"/>
    <w:rsid w:val="001F662C"/>
    <w:rsid w:val="001F7074"/>
    <w:rsid w:val="001F7A6C"/>
    <w:rsid w:val="001F7FB2"/>
    <w:rsid w:val="00200490"/>
    <w:rsid w:val="00201F3A"/>
    <w:rsid w:val="00202706"/>
    <w:rsid w:val="002028E9"/>
    <w:rsid w:val="00202B38"/>
    <w:rsid w:val="00202BE9"/>
    <w:rsid w:val="00203314"/>
    <w:rsid w:val="00203F96"/>
    <w:rsid w:val="00204053"/>
    <w:rsid w:val="002063B7"/>
    <w:rsid w:val="002069B2"/>
    <w:rsid w:val="00207C8E"/>
    <w:rsid w:val="00207FA3"/>
    <w:rsid w:val="00207FFD"/>
    <w:rsid w:val="0021048B"/>
    <w:rsid w:val="00210514"/>
    <w:rsid w:val="002110B6"/>
    <w:rsid w:val="00211D17"/>
    <w:rsid w:val="002128AC"/>
    <w:rsid w:val="0021299F"/>
    <w:rsid w:val="00213670"/>
    <w:rsid w:val="00213D5E"/>
    <w:rsid w:val="00214DA8"/>
    <w:rsid w:val="00215423"/>
    <w:rsid w:val="00215518"/>
    <w:rsid w:val="002158FA"/>
    <w:rsid w:val="00215D00"/>
    <w:rsid w:val="0021798B"/>
    <w:rsid w:val="002202EC"/>
    <w:rsid w:val="00220600"/>
    <w:rsid w:val="002224DB"/>
    <w:rsid w:val="0022325D"/>
    <w:rsid w:val="00223789"/>
    <w:rsid w:val="00223FCB"/>
    <w:rsid w:val="00224444"/>
    <w:rsid w:val="00224A5E"/>
    <w:rsid w:val="002252C3"/>
    <w:rsid w:val="00225C54"/>
    <w:rsid w:val="00225F52"/>
    <w:rsid w:val="0022689F"/>
    <w:rsid w:val="002268EA"/>
    <w:rsid w:val="00227042"/>
    <w:rsid w:val="002303C2"/>
    <w:rsid w:val="00230765"/>
    <w:rsid w:val="00230D18"/>
    <w:rsid w:val="00230DA2"/>
    <w:rsid w:val="002319E4"/>
    <w:rsid w:val="00231F67"/>
    <w:rsid w:val="00234F3C"/>
    <w:rsid w:val="00235632"/>
    <w:rsid w:val="00235872"/>
    <w:rsid w:val="00235B1B"/>
    <w:rsid w:val="00236398"/>
    <w:rsid w:val="002369B5"/>
    <w:rsid w:val="00240353"/>
    <w:rsid w:val="00240F70"/>
    <w:rsid w:val="00241559"/>
    <w:rsid w:val="002435B3"/>
    <w:rsid w:val="00243E89"/>
    <w:rsid w:val="002442BA"/>
    <w:rsid w:val="00244EF7"/>
    <w:rsid w:val="002458EB"/>
    <w:rsid w:val="00245956"/>
    <w:rsid w:val="002460BF"/>
    <w:rsid w:val="002465AA"/>
    <w:rsid w:val="002500C8"/>
    <w:rsid w:val="00250170"/>
    <w:rsid w:val="00251C2B"/>
    <w:rsid w:val="00251E94"/>
    <w:rsid w:val="00252081"/>
    <w:rsid w:val="00252163"/>
    <w:rsid w:val="002523B9"/>
    <w:rsid w:val="002530D5"/>
    <w:rsid w:val="002539C0"/>
    <w:rsid w:val="00253B8F"/>
    <w:rsid w:val="002553C5"/>
    <w:rsid w:val="00256E91"/>
    <w:rsid w:val="00257543"/>
    <w:rsid w:val="002616C2"/>
    <w:rsid w:val="002617E7"/>
    <w:rsid w:val="00261E55"/>
    <w:rsid w:val="00262F15"/>
    <w:rsid w:val="002637C5"/>
    <w:rsid w:val="00263EFB"/>
    <w:rsid w:val="00264228"/>
    <w:rsid w:val="00264334"/>
    <w:rsid w:val="0026473E"/>
    <w:rsid w:val="00265ADD"/>
    <w:rsid w:val="00266214"/>
    <w:rsid w:val="00266AB6"/>
    <w:rsid w:val="00267C83"/>
    <w:rsid w:val="00267F4E"/>
    <w:rsid w:val="00270AFE"/>
    <w:rsid w:val="0027144F"/>
    <w:rsid w:val="00271813"/>
    <w:rsid w:val="00271B81"/>
    <w:rsid w:val="00271C1D"/>
    <w:rsid w:val="00271F3A"/>
    <w:rsid w:val="00273278"/>
    <w:rsid w:val="00273410"/>
    <w:rsid w:val="00273483"/>
    <w:rsid w:val="002737F4"/>
    <w:rsid w:val="00273F1F"/>
    <w:rsid w:val="002805F5"/>
    <w:rsid w:val="00280751"/>
    <w:rsid w:val="002814CA"/>
    <w:rsid w:val="0028280A"/>
    <w:rsid w:val="00282846"/>
    <w:rsid w:val="002835A8"/>
    <w:rsid w:val="0028569E"/>
    <w:rsid w:val="002859AF"/>
    <w:rsid w:val="00286ACD"/>
    <w:rsid w:val="00287838"/>
    <w:rsid w:val="002907B5"/>
    <w:rsid w:val="00290864"/>
    <w:rsid w:val="00290B4B"/>
    <w:rsid w:val="00290B84"/>
    <w:rsid w:val="00292EB7"/>
    <w:rsid w:val="00293F9D"/>
    <w:rsid w:val="002947CD"/>
    <w:rsid w:val="00296227"/>
    <w:rsid w:val="00296F44"/>
    <w:rsid w:val="0029777D"/>
    <w:rsid w:val="002A055E"/>
    <w:rsid w:val="002A0B96"/>
    <w:rsid w:val="002A0E5E"/>
    <w:rsid w:val="002A1D4E"/>
    <w:rsid w:val="002A2006"/>
    <w:rsid w:val="002A2591"/>
    <w:rsid w:val="002A2796"/>
    <w:rsid w:val="002A2869"/>
    <w:rsid w:val="002A3B57"/>
    <w:rsid w:val="002A48E3"/>
    <w:rsid w:val="002A4955"/>
    <w:rsid w:val="002A578E"/>
    <w:rsid w:val="002A5DC6"/>
    <w:rsid w:val="002A710F"/>
    <w:rsid w:val="002A7208"/>
    <w:rsid w:val="002A7455"/>
    <w:rsid w:val="002A7CFC"/>
    <w:rsid w:val="002B18B0"/>
    <w:rsid w:val="002B24D6"/>
    <w:rsid w:val="002B2AD8"/>
    <w:rsid w:val="002B368A"/>
    <w:rsid w:val="002B3AEE"/>
    <w:rsid w:val="002B3FE6"/>
    <w:rsid w:val="002B4467"/>
    <w:rsid w:val="002B47A9"/>
    <w:rsid w:val="002B5F54"/>
    <w:rsid w:val="002C0BD4"/>
    <w:rsid w:val="002C0EA7"/>
    <w:rsid w:val="002C0F34"/>
    <w:rsid w:val="002C1565"/>
    <w:rsid w:val="002C18B1"/>
    <w:rsid w:val="002C41E6"/>
    <w:rsid w:val="002C64B3"/>
    <w:rsid w:val="002C7EC4"/>
    <w:rsid w:val="002D0152"/>
    <w:rsid w:val="002D071A"/>
    <w:rsid w:val="002D0D0E"/>
    <w:rsid w:val="002D0D38"/>
    <w:rsid w:val="002D120B"/>
    <w:rsid w:val="002D31C6"/>
    <w:rsid w:val="002D33E0"/>
    <w:rsid w:val="002D3416"/>
    <w:rsid w:val="002D34B2"/>
    <w:rsid w:val="002D354D"/>
    <w:rsid w:val="002D4118"/>
    <w:rsid w:val="002D48B0"/>
    <w:rsid w:val="002D514E"/>
    <w:rsid w:val="002D53DA"/>
    <w:rsid w:val="002D565E"/>
    <w:rsid w:val="002D5979"/>
    <w:rsid w:val="002D5B37"/>
    <w:rsid w:val="002D7637"/>
    <w:rsid w:val="002E17F2"/>
    <w:rsid w:val="002E2742"/>
    <w:rsid w:val="002E27F9"/>
    <w:rsid w:val="002E2ECB"/>
    <w:rsid w:val="002E6604"/>
    <w:rsid w:val="002E66D1"/>
    <w:rsid w:val="002E6A7A"/>
    <w:rsid w:val="002E7794"/>
    <w:rsid w:val="002E7CAE"/>
    <w:rsid w:val="002F090E"/>
    <w:rsid w:val="002F0B1D"/>
    <w:rsid w:val="002F13E4"/>
    <w:rsid w:val="002F2771"/>
    <w:rsid w:val="002F2FA2"/>
    <w:rsid w:val="002F3029"/>
    <w:rsid w:val="002F320E"/>
    <w:rsid w:val="002F37A9"/>
    <w:rsid w:val="002F49C4"/>
    <w:rsid w:val="002F6BAD"/>
    <w:rsid w:val="002F7E74"/>
    <w:rsid w:val="0030047E"/>
    <w:rsid w:val="003009D6"/>
    <w:rsid w:val="00300FFA"/>
    <w:rsid w:val="00301783"/>
    <w:rsid w:val="00301B47"/>
    <w:rsid w:val="00301CE6"/>
    <w:rsid w:val="0030208F"/>
    <w:rsid w:val="0030256B"/>
    <w:rsid w:val="0030501F"/>
    <w:rsid w:val="003059DC"/>
    <w:rsid w:val="003066E3"/>
    <w:rsid w:val="00306BB3"/>
    <w:rsid w:val="00306EDC"/>
    <w:rsid w:val="003077A1"/>
    <w:rsid w:val="00307BA1"/>
    <w:rsid w:val="00307EA7"/>
    <w:rsid w:val="00307EAD"/>
    <w:rsid w:val="00310CB5"/>
    <w:rsid w:val="00310FDE"/>
    <w:rsid w:val="003115AA"/>
    <w:rsid w:val="00311702"/>
    <w:rsid w:val="00311E82"/>
    <w:rsid w:val="00313E2E"/>
    <w:rsid w:val="00313FD6"/>
    <w:rsid w:val="003142E3"/>
    <w:rsid w:val="003143BD"/>
    <w:rsid w:val="00314F4E"/>
    <w:rsid w:val="00315363"/>
    <w:rsid w:val="0031614A"/>
    <w:rsid w:val="00316402"/>
    <w:rsid w:val="00316B18"/>
    <w:rsid w:val="00317C79"/>
    <w:rsid w:val="003203ED"/>
    <w:rsid w:val="00321055"/>
    <w:rsid w:val="0032191D"/>
    <w:rsid w:val="00322C9F"/>
    <w:rsid w:val="00323BAB"/>
    <w:rsid w:val="003249FC"/>
    <w:rsid w:val="00324D23"/>
    <w:rsid w:val="0032546D"/>
    <w:rsid w:val="003264DE"/>
    <w:rsid w:val="00327097"/>
    <w:rsid w:val="00327F30"/>
    <w:rsid w:val="00331751"/>
    <w:rsid w:val="00334579"/>
    <w:rsid w:val="00335858"/>
    <w:rsid w:val="00336BDA"/>
    <w:rsid w:val="003375DA"/>
    <w:rsid w:val="00341764"/>
    <w:rsid w:val="00342744"/>
    <w:rsid w:val="00342BD7"/>
    <w:rsid w:val="00342D75"/>
    <w:rsid w:val="00342E9B"/>
    <w:rsid w:val="00342FDB"/>
    <w:rsid w:val="00345ADE"/>
    <w:rsid w:val="0034632A"/>
    <w:rsid w:val="00346383"/>
    <w:rsid w:val="00346DB5"/>
    <w:rsid w:val="00346E58"/>
    <w:rsid w:val="0034703B"/>
    <w:rsid w:val="003477B1"/>
    <w:rsid w:val="00347877"/>
    <w:rsid w:val="003507AA"/>
    <w:rsid w:val="003523F1"/>
    <w:rsid w:val="00352CB6"/>
    <w:rsid w:val="00352D9D"/>
    <w:rsid w:val="0035320C"/>
    <w:rsid w:val="0035547F"/>
    <w:rsid w:val="003566B3"/>
    <w:rsid w:val="00357380"/>
    <w:rsid w:val="0035782F"/>
    <w:rsid w:val="00357EC2"/>
    <w:rsid w:val="003602D9"/>
    <w:rsid w:val="0036042F"/>
    <w:rsid w:val="003604CE"/>
    <w:rsid w:val="0036063A"/>
    <w:rsid w:val="00361787"/>
    <w:rsid w:val="00364368"/>
    <w:rsid w:val="00364480"/>
    <w:rsid w:val="0036695D"/>
    <w:rsid w:val="00367FE4"/>
    <w:rsid w:val="00370E47"/>
    <w:rsid w:val="0037185D"/>
    <w:rsid w:val="003733C6"/>
    <w:rsid w:val="00373AE9"/>
    <w:rsid w:val="00373F11"/>
    <w:rsid w:val="003742AC"/>
    <w:rsid w:val="0037475A"/>
    <w:rsid w:val="00376AF3"/>
    <w:rsid w:val="00376DF1"/>
    <w:rsid w:val="00377CE1"/>
    <w:rsid w:val="00377F63"/>
    <w:rsid w:val="003802F0"/>
    <w:rsid w:val="00381BE5"/>
    <w:rsid w:val="00382946"/>
    <w:rsid w:val="00382AA3"/>
    <w:rsid w:val="00382DB3"/>
    <w:rsid w:val="003831F7"/>
    <w:rsid w:val="0038356F"/>
    <w:rsid w:val="00385BF0"/>
    <w:rsid w:val="00385E8B"/>
    <w:rsid w:val="00386CAB"/>
    <w:rsid w:val="003870BA"/>
    <w:rsid w:val="00387C2B"/>
    <w:rsid w:val="0039201D"/>
    <w:rsid w:val="0039211B"/>
    <w:rsid w:val="003929CD"/>
    <w:rsid w:val="003939FF"/>
    <w:rsid w:val="003941A9"/>
    <w:rsid w:val="00394758"/>
    <w:rsid w:val="00394CFC"/>
    <w:rsid w:val="00395558"/>
    <w:rsid w:val="00395E2C"/>
    <w:rsid w:val="003968F7"/>
    <w:rsid w:val="003A1880"/>
    <w:rsid w:val="003A2223"/>
    <w:rsid w:val="003A2427"/>
    <w:rsid w:val="003A2A0F"/>
    <w:rsid w:val="003A2B07"/>
    <w:rsid w:val="003A43A2"/>
    <w:rsid w:val="003A45A1"/>
    <w:rsid w:val="003A47E2"/>
    <w:rsid w:val="003A5B0A"/>
    <w:rsid w:val="003A6BAC"/>
    <w:rsid w:val="003A6BC4"/>
    <w:rsid w:val="003A70A4"/>
    <w:rsid w:val="003A7AA8"/>
    <w:rsid w:val="003A7EF3"/>
    <w:rsid w:val="003B02E9"/>
    <w:rsid w:val="003B058D"/>
    <w:rsid w:val="003B0D85"/>
    <w:rsid w:val="003B0DCE"/>
    <w:rsid w:val="003B0FD0"/>
    <w:rsid w:val="003B1036"/>
    <w:rsid w:val="003B115D"/>
    <w:rsid w:val="003B159C"/>
    <w:rsid w:val="003B1A9D"/>
    <w:rsid w:val="003B3228"/>
    <w:rsid w:val="003B369F"/>
    <w:rsid w:val="003B36A3"/>
    <w:rsid w:val="003B478C"/>
    <w:rsid w:val="003B5DE4"/>
    <w:rsid w:val="003B64A6"/>
    <w:rsid w:val="003B64BB"/>
    <w:rsid w:val="003B64E3"/>
    <w:rsid w:val="003B66BF"/>
    <w:rsid w:val="003B7AF1"/>
    <w:rsid w:val="003B7FE5"/>
    <w:rsid w:val="003C07E5"/>
    <w:rsid w:val="003C11C8"/>
    <w:rsid w:val="003C2702"/>
    <w:rsid w:val="003C3C74"/>
    <w:rsid w:val="003C63B5"/>
    <w:rsid w:val="003C72A2"/>
    <w:rsid w:val="003C750E"/>
    <w:rsid w:val="003C7806"/>
    <w:rsid w:val="003D0AFE"/>
    <w:rsid w:val="003D1057"/>
    <w:rsid w:val="003D109F"/>
    <w:rsid w:val="003D154A"/>
    <w:rsid w:val="003D1D74"/>
    <w:rsid w:val="003D2478"/>
    <w:rsid w:val="003D353B"/>
    <w:rsid w:val="003D3C45"/>
    <w:rsid w:val="003D52AB"/>
    <w:rsid w:val="003D5B1F"/>
    <w:rsid w:val="003D5EB4"/>
    <w:rsid w:val="003D5F05"/>
    <w:rsid w:val="003D642F"/>
    <w:rsid w:val="003D6D12"/>
    <w:rsid w:val="003D7A4B"/>
    <w:rsid w:val="003E14BA"/>
    <w:rsid w:val="003E15FA"/>
    <w:rsid w:val="003E1D1E"/>
    <w:rsid w:val="003E1FC5"/>
    <w:rsid w:val="003E4618"/>
    <w:rsid w:val="003E4F7C"/>
    <w:rsid w:val="003E55E4"/>
    <w:rsid w:val="003E723A"/>
    <w:rsid w:val="003E741C"/>
    <w:rsid w:val="003E74E3"/>
    <w:rsid w:val="003E7AF4"/>
    <w:rsid w:val="003F05C7"/>
    <w:rsid w:val="003F0D3E"/>
    <w:rsid w:val="003F0F93"/>
    <w:rsid w:val="003F18A5"/>
    <w:rsid w:val="003F198D"/>
    <w:rsid w:val="003F2CD4"/>
    <w:rsid w:val="003F4297"/>
    <w:rsid w:val="003F47FB"/>
    <w:rsid w:val="003F61FD"/>
    <w:rsid w:val="003F6BBE"/>
    <w:rsid w:val="004000E8"/>
    <w:rsid w:val="004003BE"/>
    <w:rsid w:val="0040092F"/>
    <w:rsid w:val="004009B0"/>
    <w:rsid w:val="00400DED"/>
    <w:rsid w:val="00400FA0"/>
    <w:rsid w:val="00401199"/>
    <w:rsid w:val="00401520"/>
    <w:rsid w:val="004026DB"/>
    <w:rsid w:val="00402E2B"/>
    <w:rsid w:val="0040302F"/>
    <w:rsid w:val="00403CA4"/>
    <w:rsid w:val="00404667"/>
    <w:rsid w:val="00404D20"/>
    <w:rsid w:val="0040512B"/>
    <w:rsid w:val="00405CA5"/>
    <w:rsid w:val="004060F8"/>
    <w:rsid w:val="00406842"/>
    <w:rsid w:val="00407A49"/>
    <w:rsid w:val="00407CD3"/>
    <w:rsid w:val="00410134"/>
    <w:rsid w:val="00410B72"/>
    <w:rsid w:val="00410F18"/>
    <w:rsid w:val="004117FA"/>
    <w:rsid w:val="00411B8C"/>
    <w:rsid w:val="0041263E"/>
    <w:rsid w:val="00413AAC"/>
    <w:rsid w:val="00413E92"/>
    <w:rsid w:val="00414CBB"/>
    <w:rsid w:val="00414CEE"/>
    <w:rsid w:val="00414EC7"/>
    <w:rsid w:val="0041727D"/>
    <w:rsid w:val="00421105"/>
    <w:rsid w:val="00421C10"/>
    <w:rsid w:val="004225AC"/>
    <w:rsid w:val="00422AA4"/>
    <w:rsid w:val="004234B7"/>
    <w:rsid w:val="0042365B"/>
    <w:rsid w:val="004242F4"/>
    <w:rsid w:val="004246F1"/>
    <w:rsid w:val="00424956"/>
    <w:rsid w:val="00425B29"/>
    <w:rsid w:val="0042616B"/>
    <w:rsid w:val="00427248"/>
    <w:rsid w:val="004302FD"/>
    <w:rsid w:val="00430E31"/>
    <w:rsid w:val="004314E8"/>
    <w:rsid w:val="00432D66"/>
    <w:rsid w:val="00433013"/>
    <w:rsid w:val="0043346D"/>
    <w:rsid w:val="0043477E"/>
    <w:rsid w:val="00435282"/>
    <w:rsid w:val="00435A45"/>
    <w:rsid w:val="00435EA7"/>
    <w:rsid w:val="00437447"/>
    <w:rsid w:val="0044004B"/>
    <w:rsid w:val="00441A92"/>
    <w:rsid w:val="00441EB1"/>
    <w:rsid w:val="004431DC"/>
    <w:rsid w:val="00444F56"/>
    <w:rsid w:val="00446488"/>
    <w:rsid w:val="00447131"/>
    <w:rsid w:val="00450C41"/>
    <w:rsid w:val="00450F6D"/>
    <w:rsid w:val="004517AA"/>
    <w:rsid w:val="00452CAC"/>
    <w:rsid w:val="004530E0"/>
    <w:rsid w:val="00453E0A"/>
    <w:rsid w:val="004545CA"/>
    <w:rsid w:val="0045505E"/>
    <w:rsid w:val="00455267"/>
    <w:rsid w:val="004565D3"/>
    <w:rsid w:val="00456C26"/>
    <w:rsid w:val="00456DD1"/>
    <w:rsid w:val="00457565"/>
    <w:rsid w:val="00457B71"/>
    <w:rsid w:val="004610CA"/>
    <w:rsid w:val="00461261"/>
    <w:rsid w:val="00461280"/>
    <w:rsid w:val="004627B2"/>
    <w:rsid w:val="00462A5F"/>
    <w:rsid w:val="00462E6C"/>
    <w:rsid w:val="00463941"/>
    <w:rsid w:val="00463D85"/>
    <w:rsid w:val="00464689"/>
    <w:rsid w:val="00464A2D"/>
    <w:rsid w:val="00464D73"/>
    <w:rsid w:val="00465F31"/>
    <w:rsid w:val="004669E2"/>
    <w:rsid w:val="00466E90"/>
    <w:rsid w:val="00470C31"/>
    <w:rsid w:val="0047116E"/>
    <w:rsid w:val="00471CF9"/>
    <w:rsid w:val="00471DE0"/>
    <w:rsid w:val="00471DF1"/>
    <w:rsid w:val="00471EC0"/>
    <w:rsid w:val="004720CC"/>
    <w:rsid w:val="00472997"/>
    <w:rsid w:val="004734D0"/>
    <w:rsid w:val="00473989"/>
    <w:rsid w:val="0047556B"/>
    <w:rsid w:val="0047563D"/>
    <w:rsid w:val="00475F00"/>
    <w:rsid w:val="00476782"/>
    <w:rsid w:val="00477768"/>
    <w:rsid w:val="004814FE"/>
    <w:rsid w:val="004826A8"/>
    <w:rsid w:val="004872DD"/>
    <w:rsid w:val="004873C1"/>
    <w:rsid w:val="0048745E"/>
    <w:rsid w:val="004909AC"/>
    <w:rsid w:val="00491DB2"/>
    <w:rsid w:val="004924D1"/>
    <w:rsid w:val="00492BC5"/>
    <w:rsid w:val="00494EBE"/>
    <w:rsid w:val="00495204"/>
    <w:rsid w:val="004956D7"/>
    <w:rsid w:val="004964F1"/>
    <w:rsid w:val="004964F4"/>
    <w:rsid w:val="00496B2C"/>
    <w:rsid w:val="00496D0C"/>
    <w:rsid w:val="0049796E"/>
    <w:rsid w:val="004A129C"/>
    <w:rsid w:val="004A16BC"/>
    <w:rsid w:val="004A1CB0"/>
    <w:rsid w:val="004A1CB7"/>
    <w:rsid w:val="004A2B94"/>
    <w:rsid w:val="004A3265"/>
    <w:rsid w:val="004A3BD7"/>
    <w:rsid w:val="004A7017"/>
    <w:rsid w:val="004A70BE"/>
    <w:rsid w:val="004A79FF"/>
    <w:rsid w:val="004B1181"/>
    <w:rsid w:val="004B3F8F"/>
    <w:rsid w:val="004B5824"/>
    <w:rsid w:val="004B6F6A"/>
    <w:rsid w:val="004B7780"/>
    <w:rsid w:val="004B7C0C"/>
    <w:rsid w:val="004C010D"/>
    <w:rsid w:val="004C2860"/>
    <w:rsid w:val="004C2B26"/>
    <w:rsid w:val="004C37AE"/>
    <w:rsid w:val="004C3898"/>
    <w:rsid w:val="004C6E12"/>
    <w:rsid w:val="004D36B1"/>
    <w:rsid w:val="004D49BC"/>
    <w:rsid w:val="004D50E7"/>
    <w:rsid w:val="004D5306"/>
    <w:rsid w:val="004D5CF8"/>
    <w:rsid w:val="004D6110"/>
    <w:rsid w:val="004D788A"/>
    <w:rsid w:val="004D7BBD"/>
    <w:rsid w:val="004D7EBD"/>
    <w:rsid w:val="004E14BA"/>
    <w:rsid w:val="004E2680"/>
    <w:rsid w:val="004E28F9"/>
    <w:rsid w:val="004E42A9"/>
    <w:rsid w:val="004E4309"/>
    <w:rsid w:val="004E462E"/>
    <w:rsid w:val="004E490E"/>
    <w:rsid w:val="004E4CB8"/>
    <w:rsid w:val="004E56DC"/>
    <w:rsid w:val="004E5D77"/>
    <w:rsid w:val="004E68B6"/>
    <w:rsid w:val="004E6FD6"/>
    <w:rsid w:val="004E75F5"/>
    <w:rsid w:val="004E76F4"/>
    <w:rsid w:val="004F0B4E"/>
    <w:rsid w:val="004F0B6C"/>
    <w:rsid w:val="004F1371"/>
    <w:rsid w:val="004F2078"/>
    <w:rsid w:val="004F22DE"/>
    <w:rsid w:val="004F24B3"/>
    <w:rsid w:val="004F3A8F"/>
    <w:rsid w:val="004F3C6E"/>
    <w:rsid w:val="004F4DA3"/>
    <w:rsid w:val="004F7389"/>
    <w:rsid w:val="00501BC8"/>
    <w:rsid w:val="00502689"/>
    <w:rsid w:val="00503B60"/>
    <w:rsid w:val="00505A9D"/>
    <w:rsid w:val="00505DEC"/>
    <w:rsid w:val="00506557"/>
    <w:rsid w:val="00506663"/>
    <w:rsid w:val="0050677A"/>
    <w:rsid w:val="00506940"/>
    <w:rsid w:val="00507809"/>
    <w:rsid w:val="00507A40"/>
    <w:rsid w:val="005100AB"/>
    <w:rsid w:val="005101C3"/>
    <w:rsid w:val="005108D8"/>
    <w:rsid w:val="005116F9"/>
    <w:rsid w:val="00511EB6"/>
    <w:rsid w:val="005130A6"/>
    <w:rsid w:val="00513184"/>
    <w:rsid w:val="0051524C"/>
    <w:rsid w:val="005153A7"/>
    <w:rsid w:val="00515D53"/>
    <w:rsid w:val="0051644E"/>
    <w:rsid w:val="00516B8E"/>
    <w:rsid w:val="00520A9C"/>
    <w:rsid w:val="005219CF"/>
    <w:rsid w:val="00522878"/>
    <w:rsid w:val="00522966"/>
    <w:rsid w:val="00522B0F"/>
    <w:rsid w:val="005231EA"/>
    <w:rsid w:val="005237D1"/>
    <w:rsid w:val="00523877"/>
    <w:rsid w:val="00523C0B"/>
    <w:rsid w:val="0052520F"/>
    <w:rsid w:val="00526113"/>
    <w:rsid w:val="00527B3E"/>
    <w:rsid w:val="00527DD1"/>
    <w:rsid w:val="00530565"/>
    <w:rsid w:val="005307FE"/>
    <w:rsid w:val="00531B7A"/>
    <w:rsid w:val="00533002"/>
    <w:rsid w:val="005330B0"/>
    <w:rsid w:val="005343AB"/>
    <w:rsid w:val="00534B59"/>
    <w:rsid w:val="00534CB1"/>
    <w:rsid w:val="00536759"/>
    <w:rsid w:val="00536A40"/>
    <w:rsid w:val="005371A3"/>
    <w:rsid w:val="005378CA"/>
    <w:rsid w:val="00537A69"/>
    <w:rsid w:val="00537C62"/>
    <w:rsid w:val="0054061A"/>
    <w:rsid w:val="005415FC"/>
    <w:rsid w:val="00543D7A"/>
    <w:rsid w:val="00544DDD"/>
    <w:rsid w:val="00545440"/>
    <w:rsid w:val="0054568C"/>
    <w:rsid w:val="005457BC"/>
    <w:rsid w:val="00546050"/>
    <w:rsid w:val="00546970"/>
    <w:rsid w:val="00546E10"/>
    <w:rsid w:val="00546E82"/>
    <w:rsid w:val="0055011A"/>
    <w:rsid w:val="00551386"/>
    <w:rsid w:val="005527C3"/>
    <w:rsid w:val="0055347F"/>
    <w:rsid w:val="00554C1D"/>
    <w:rsid w:val="00554D5F"/>
    <w:rsid w:val="00554D66"/>
    <w:rsid w:val="00554E19"/>
    <w:rsid w:val="00556C66"/>
    <w:rsid w:val="005574AE"/>
    <w:rsid w:val="00557886"/>
    <w:rsid w:val="0056121F"/>
    <w:rsid w:val="0056157B"/>
    <w:rsid w:val="00561D4E"/>
    <w:rsid w:val="005622AB"/>
    <w:rsid w:val="005640B6"/>
    <w:rsid w:val="0056412C"/>
    <w:rsid w:val="00564CCF"/>
    <w:rsid w:val="00570F58"/>
    <w:rsid w:val="00572304"/>
    <w:rsid w:val="005724B0"/>
    <w:rsid w:val="00572505"/>
    <w:rsid w:val="00573311"/>
    <w:rsid w:val="00573BFC"/>
    <w:rsid w:val="00573F66"/>
    <w:rsid w:val="00574133"/>
    <w:rsid w:val="005750D0"/>
    <w:rsid w:val="00575220"/>
    <w:rsid w:val="00575B52"/>
    <w:rsid w:val="00576D53"/>
    <w:rsid w:val="00576E46"/>
    <w:rsid w:val="00580387"/>
    <w:rsid w:val="00580B20"/>
    <w:rsid w:val="00581642"/>
    <w:rsid w:val="00581FAC"/>
    <w:rsid w:val="00582454"/>
    <w:rsid w:val="00582809"/>
    <w:rsid w:val="00585621"/>
    <w:rsid w:val="0058596B"/>
    <w:rsid w:val="00585BFC"/>
    <w:rsid w:val="0058798C"/>
    <w:rsid w:val="005900B1"/>
    <w:rsid w:val="005900FA"/>
    <w:rsid w:val="00590443"/>
    <w:rsid w:val="00592007"/>
    <w:rsid w:val="00592364"/>
    <w:rsid w:val="005935A4"/>
    <w:rsid w:val="005948C2"/>
    <w:rsid w:val="00594B70"/>
    <w:rsid w:val="005958AC"/>
    <w:rsid w:val="00595DCA"/>
    <w:rsid w:val="005963C8"/>
    <w:rsid w:val="00596605"/>
    <w:rsid w:val="0059673D"/>
    <w:rsid w:val="005973CA"/>
    <w:rsid w:val="0059779B"/>
    <w:rsid w:val="005A034F"/>
    <w:rsid w:val="005A0DC4"/>
    <w:rsid w:val="005A1A2B"/>
    <w:rsid w:val="005A209A"/>
    <w:rsid w:val="005A372D"/>
    <w:rsid w:val="005A3858"/>
    <w:rsid w:val="005A5A54"/>
    <w:rsid w:val="005A5DAC"/>
    <w:rsid w:val="005A64A3"/>
    <w:rsid w:val="005A662D"/>
    <w:rsid w:val="005A6C41"/>
    <w:rsid w:val="005A71F0"/>
    <w:rsid w:val="005A77FE"/>
    <w:rsid w:val="005B033F"/>
    <w:rsid w:val="005B1409"/>
    <w:rsid w:val="005B1436"/>
    <w:rsid w:val="005B2B60"/>
    <w:rsid w:val="005B2C70"/>
    <w:rsid w:val="005B35D7"/>
    <w:rsid w:val="005B392A"/>
    <w:rsid w:val="005B397F"/>
    <w:rsid w:val="005B3AA3"/>
    <w:rsid w:val="005B3B4C"/>
    <w:rsid w:val="005B6F83"/>
    <w:rsid w:val="005C1959"/>
    <w:rsid w:val="005C2523"/>
    <w:rsid w:val="005C25A4"/>
    <w:rsid w:val="005C35C2"/>
    <w:rsid w:val="005C39DB"/>
    <w:rsid w:val="005C3C10"/>
    <w:rsid w:val="005C4419"/>
    <w:rsid w:val="005C74FB"/>
    <w:rsid w:val="005C77DD"/>
    <w:rsid w:val="005D06DA"/>
    <w:rsid w:val="005D1602"/>
    <w:rsid w:val="005D1EE8"/>
    <w:rsid w:val="005D4178"/>
    <w:rsid w:val="005D6B64"/>
    <w:rsid w:val="005D7D6A"/>
    <w:rsid w:val="005E00CA"/>
    <w:rsid w:val="005E1270"/>
    <w:rsid w:val="005E1993"/>
    <w:rsid w:val="005E385F"/>
    <w:rsid w:val="005E41CA"/>
    <w:rsid w:val="005E5568"/>
    <w:rsid w:val="005E5B81"/>
    <w:rsid w:val="005E5F3C"/>
    <w:rsid w:val="005F0EB8"/>
    <w:rsid w:val="005F1BE1"/>
    <w:rsid w:val="005F1F3A"/>
    <w:rsid w:val="005F26D4"/>
    <w:rsid w:val="005F26DA"/>
    <w:rsid w:val="005F276F"/>
    <w:rsid w:val="005F2C27"/>
    <w:rsid w:val="005F2CB1"/>
    <w:rsid w:val="005F3025"/>
    <w:rsid w:val="005F55BB"/>
    <w:rsid w:val="005F5797"/>
    <w:rsid w:val="005F5D2F"/>
    <w:rsid w:val="005F618C"/>
    <w:rsid w:val="005F639A"/>
    <w:rsid w:val="005F6D03"/>
    <w:rsid w:val="005F70BD"/>
    <w:rsid w:val="005F7F60"/>
    <w:rsid w:val="00602385"/>
    <w:rsid w:val="0060283C"/>
    <w:rsid w:val="00603185"/>
    <w:rsid w:val="00604F14"/>
    <w:rsid w:val="00605254"/>
    <w:rsid w:val="00606120"/>
    <w:rsid w:val="006064C1"/>
    <w:rsid w:val="0060758A"/>
    <w:rsid w:val="00607602"/>
    <w:rsid w:val="00607675"/>
    <w:rsid w:val="0061018D"/>
    <w:rsid w:val="00610CD5"/>
    <w:rsid w:val="00610F77"/>
    <w:rsid w:val="00611B83"/>
    <w:rsid w:val="00612373"/>
    <w:rsid w:val="00612E36"/>
    <w:rsid w:val="00613257"/>
    <w:rsid w:val="0061374B"/>
    <w:rsid w:val="00613B1C"/>
    <w:rsid w:val="00613E8C"/>
    <w:rsid w:val="006157D3"/>
    <w:rsid w:val="00620607"/>
    <w:rsid w:val="00620A71"/>
    <w:rsid w:val="00620D80"/>
    <w:rsid w:val="006219D5"/>
    <w:rsid w:val="00622039"/>
    <w:rsid w:val="00622494"/>
    <w:rsid w:val="00623124"/>
    <w:rsid w:val="006234A6"/>
    <w:rsid w:val="0062388B"/>
    <w:rsid w:val="00623AD2"/>
    <w:rsid w:val="006258C0"/>
    <w:rsid w:val="00626013"/>
    <w:rsid w:val="00626089"/>
    <w:rsid w:val="00627384"/>
    <w:rsid w:val="00627D22"/>
    <w:rsid w:val="00630001"/>
    <w:rsid w:val="00630077"/>
    <w:rsid w:val="006311B3"/>
    <w:rsid w:val="0063284C"/>
    <w:rsid w:val="00633D54"/>
    <w:rsid w:val="0063491D"/>
    <w:rsid w:val="00635449"/>
    <w:rsid w:val="006358E7"/>
    <w:rsid w:val="00636398"/>
    <w:rsid w:val="006368D3"/>
    <w:rsid w:val="006377EC"/>
    <w:rsid w:val="0064092D"/>
    <w:rsid w:val="0064132D"/>
    <w:rsid w:val="0064151F"/>
    <w:rsid w:val="00641533"/>
    <w:rsid w:val="0064208D"/>
    <w:rsid w:val="00643475"/>
    <w:rsid w:val="0064396A"/>
    <w:rsid w:val="00643BDA"/>
    <w:rsid w:val="00645613"/>
    <w:rsid w:val="006458F0"/>
    <w:rsid w:val="0064624E"/>
    <w:rsid w:val="00646978"/>
    <w:rsid w:val="00647880"/>
    <w:rsid w:val="00647F86"/>
    <w:rsid w:val="00650AB9"/>
    <w:rsid w:val="00651BB1"/>
    <w:rsid w:val="006524B8"/>
    <w:rsid w:val="006528CF"/>
    <w:rsid w:val="00652BD0"/>
    <w:rsid w:val="00653D4A"/>
    <w:rsid w:val="00653ECF"/>
    <w:rsid w:val="006550E6"/>
    <w:rsid w:val="00655733"/>
    <w:rsid w:val="00655ACD"/>
    <w:rsid w:val="00656A92"/>
    <w:rsid w:val="00656DDE"/>
    <w:rsid w:val="0066011D"/>
    <w:rsid w:val="006607C0"/>
    <w:rsid w:val="006613A6"/>
    <w:rsid w:val="006627A2"/>
    <w:rsid w:val="00662A2A"/>
    <w:rsid w:val="00662F7E"/>
    <w:rsid w:val="006634E6"/>
    <w:rsid w:val="006638A0"/>
    <w:rsid w:val="006651B6"/>
    <w:rsid w:val="006655EE"/>
    <w:rsid w:val="00667064"/>
    <w:rsid w:val="00667B5A"/>
    <w:rsid w:val="00667EE7"/>
    <w:rsid w:val="00667F17"/>
    <w:rsid w:val="00670582"/>
    <w:rsid w:val="00670922"/>
    <w:rsid w:val="00670BE1"/>
    <w:rsid w:val="00670D59"/>
    <w:rsid w:val="006714F3"/>
    <w:rsid w:val="0067207D"/>
    <w:rsid w:val="0067218F"/>
    <w:rsid w:val="0067286D"/>
    <w:rsid w:val="00673351"/>
    <w:rsid w:val="006741E2"/>
    <w:rsid w:val="006741EA"/>
    <w:rsid w:val="006741F2"/>
    <w:rsid w:val="00674CC3"/>
    <w:rsid w:val="00675C72"/>
    <w:rsid w:val="006762AE"/>
    <w:rsid w:val="006771F9"/>
    <w:rsid w:val="006775C9"/>
    <w:rsid w:val="006776D7"/>
    <w:rsid w:val="00681003"/>
    <w:rsid w:val="006817C9"/>
    <w:rsid w:val="00683DC1"/>
    <w:rsid w:val="00683ECE"/>
    <w:rsid w:val="0068722C"/>
    <w:rsid w:val="00690749"/>
    <w:rsid w:val="00691797"/>
    <w:rsid w:val="00691B11"/>
    <w:rsid w:val="00692BB0"/>
    <w:rsid w:val="00692C56"/>
    <w:rsid w:val="0069323D"/>
    <w:rsid w:val="006936BD"/>
    <w:rsid w:val="00695285"/>
    <w:rsid w:val="00695FC2"/>
    <w:rsid w:val="0069652B"/>
    <w:rsid w:val="00696949"/>
    <w:rsid w:val="00696FE3"/>
    <w:rsid w:val="00697052"/>
    <w:rsid w:val="00697597"/>
    <w:rsid w:val="00697A28"/>
    <w:rsid w:val="006A13A0"/>
    <w:rsid w:val="006A1EB4"/>
    <w:rsid w:val="006A249D"/>
    <w:rsid w:val="006A46FB"/>
    <w:rsid w:val="006A4DD6"/>
    <w:rsid w:val="006A5E28"/>
    <w:rsid w:val="006A66DC"/>
    <w:rsid w:val="006A697B"/>
    <w:rsid w:val="006A6BEE"/>
    <w:rsid w:val="006A7AFF"/>
    <w:rsid w:val="006A7DE4"/>
    <w:rsid w:val="006B013E"/>
    <w:rsid w:val="006B05F6"/>
    <w:rsid w:val="006B0DA2"/>
    <w:rsid w:val="006B0EB2"/>
    <w:rsid w:val="006B10DD"/>
    <w:rsid w:val="006B1816"/>
    <w:rsid w:val="006B1F9D"/>
    <w:rsid w:val="006B2099"/>
    <w:rsid w:val="006B35DD"/>
    <w:rsid w:val="006B50CF"/>
    <w:rsid w:val="006B5C9F"/>
    <w:rsid w:val="006B687E"/>
    <w:rsid w:val="006B6B47"/>
    <w:rsid w:val="006B6E94"/>
    <w:rsid w:val="006C008A"/>
    <w:rsid w:val="006C03B8"/>
    <w:rsid w:val="006C0D29"/>
    <w:rsid w:val="006C26BE"/>
    <w:rsid w:val="006C3827"/>
    <w:rsid w:val="006C3A9E"/>
    <w:rsid w:val="006C4F2E"/>
    <w:rsid w:val="006C5EC9"/>
    <w:rsid w:val="006C6059"/>
    <w:rsid w:val="006C7522"/>
    <w:rsid w:val="006D028A"/>
    <w:rsid w:val="006D2455"/>
    <w:rsid w:val="006D33A0"/>
    <w:rsid w:val="006D5DAF"/>
    <w:rsid w:val="006D6F08"/>
    <w:rsid w:val="006D701A"/>
    <w:rsid w:val="006D757F"/>
    <w:rsid w:val="006E062C"/>
    <w:rsid w:val="006E0D4C"/>
    <w:rsid w:val="006E13B5"/>
    <w:rsid w:val="006E1433"/>
    <w:rsid w:val="006E1C82"/>
    <w:rsid w:val="006E289C"/>
    <w:rsid w:val="006E28B7"/>
    <w:rsid w:val="006E2A9B"/>
    <w:rsid w:val="006E3136"/>
    <w:rsid w:val="006E3310"/>
    <w:rsid w:val="006E3E78"/>
    <w:rsid w:val="006E48C6"/>
    <w:rsid w:val="006E4BD9"/>
    <w:rsid w:val="006E4E39"/>
    <w:rsid w:val="006E4F1B"/>
    <w:rsid w:val="006E565E"/>
    <w:rsid w:val="006E5CA6"/>
    <w:rsid w:val="006E5DFA"/>
    <w:rsid w:val="006E6171"/>
    <w:rsid w:val="006E673D"/>
    <w:rsid w:val="006E68C0"/>
    <w:rsid w:val="006E7978"/>
    <w:rsid w:val="006E7D3B"/>
    <w:rsid w:val="006F1B70"/>
    <w:rsid w:val="006F341D"/>
    <w:rsid w:val="006F3756"/>
    <w:rsid w:val="006F3CDE"/>
    <w:rsid w:val="006F581A"/>
    <w:rsid w:val="006F58D4"/>
    <w:rsid w:val="006F6582"/>
    <w:rsid w:val="006F6F09"/>
    <w:rsid w:val="006F701D"/>
    <w:rsid w:val="006F72CC"/>
    <w:rsid w:val="0070105F"/>
    <w:rsid w:val="00701234"/>
    <w:rsid w:val="007012C6"/>
    <w:rsid w:val="007014DD"/>
    <w:rsid w:val="00702994"/>
    <w:rsid w:val="0070346E"/>
    <w:rsid w:val="00704E03"/>
    <w:rsid w:val="00704EDB"/>
    <w:rsid w:val="00705C0E"/>
    <w:rsid w:val="00706101"/>
    <w:rsid w:val="00706CFB"/>
    <w:rsid w:val="00707072"/>
    <w:rsid w:val="00707991"/>
    <w:rsid w:val="00707D61"/>
    <w:rsid w:val="00707DC8"/>
    <w:rsid w:val="007110AF"/>
    <w:rsid w:val="007116F6"/>
    <w:rsid w:val="00712287"/>
    <w:rsid w:val="00712508"/>
    <w:rsid w:val="00712772"/>
    <w:rsid w:val="00712BF5"/>
    <w:rsid w:val="00713426"/>
    <w:rsid w:val="007138E4"/>
    <w:rsid w:val="007139CD"/>
    <w:rsid w:val="00714314"/>
    <w:rsid w:val="007148D3"/>
    <w:rsid w:val="00715B9A"/>
    <w:rsid w:val="00716BAA"/>
    <w:rsid w:val="007178F8"/>
    <w:rsid w:val="00720CE3"/>
    <w:rsid w:val="00721B32"/>
    <w:rsid w:val="00722606"/>
    <w:rsid w:val="00723E8B"/>
    <w:rsid w:val="00724227"/>
    <w:rsid w:val="00724A0A"/>
    <w:rsid w:val="00724E03"/>
    <w:rsid w:val="00724E61"/>
    <w:rsid w:val="007257D0"/>
    <w:rsid w:val="00726EA6"/>
    <w:rsid w:val="00726F2D"/>
    <w:rsid w:val="00727208"/>
    <w:rsid w:val="00727680"/>
    <w:rsid w:val="00727C99"/>
    <w:rsid w:val="00727CC0"/>
    <w:rsid w:val="007316FA"/>
    <w:rsid w:val="00731B67"/>
    <w:rsid w:val="00731D98"/>
    <w:rsid w:val="00732660"/>
    <w:rsid w:val="00732B3C"/>
    <w:rsid w:val="00733C2B"/>
    <w:rsid w:val="00734394"/>
    <w:rsid w:val="007343FD"/>
    <w:rsid w:val="007348B1"/>
    <w:rsid w:val="00734D1C"/>
    <w:rsid w:val="00734FB2"/>
    <w:rsid w:val="00735392"/>
    <w:rsid w:val="00735BCA"/>
    <w:rsid w:val="00735D1E"/>
    <w:rsid w:val="0073619F"/>
    <w:rsid w:val="007362A6"/>
    <w:rsid w:val="00736D7D"/>
    <w:rsid w:val="00737249"/>
    <w:rsid w:val="00740E58"/>
    <w:rsid w:val="007418D1"/>
    <w:rsid w:val="00742702"/>
    <w:rsid w:val="00742799"/>
    <w:rsid w:val="00742A9F"/>
    <w:rsid w:val="00742AAF"/>
    <w:rsid w:val="0074408C"/>
    <w:rsid w:val="007445A0"/>
    <w:rsid w:val="0074524B"/>
    <w:rsid w:val="00745F6A"/>
    <w:rsid w:val="0074650A"/>
    <w:rsid w:val="00746AD2"/>
    <w:rsid w:val="00746C4B"/>
    <w:rsid w:val="007470F0"/>
    <w:rsid w:val="00747D8B"/>
    <w:rsid w:val="0075000A"/>
    <w:rsid w:val="0075038C"/>
    <w:rsid w:val="0075059A"/>
    <w:rsid w:val="00750EDB"/>
    <w:rsid w:val="00751228"/>
    <w:rsid w:val="00753916"/>
    <w:rsid w:val="00754AF3"/>
    <w:rsid w:val="007556A2"/>
    <w:rsid w:val="007571E1"/>
    <w:rsid w:val="00760170"/>
    <w:rsid w:val="007604B2"/>
    <w:rsid w:val="00761EB6"/>
    <w:rsid w:val="0076224E"/>
    <w:rsid w:val="00762840"/>
    <w:rsid w:val="007629C0"/>
    <w:rsid w:val="00762D17"/>
    <w:rsid w:val="007634B0"/>
    <w:rsid w:val="00764BCB"/>
    <w:rsid w:val="00765038"/>
    <w:rsid w:val="00765281"/>
    <w:rsid w:val="00766BAD"/>
    <w:rsid w:val="0076764B"/>
    <w:rsid w:val="0076798D"/>
    <w:rsid w:val="00767AFD"/>
    <w:rsid w:val="00771499"/>
    <w:rsid w:val="0077221B"/>
    <w:rsid w:val="007729A2"/>
    <w:rsid w:val="00772AFB"/>
    <w:rsid w:val="00772B43"/>
    <w:rsid w:val="00772F58"/>
    <w:rsid w:val="007747B3"/>
    <w:rsid w:val="007755F2"/>
    <w:rsid w:val="00775A6B"/>
    <w:rsid w:val="0077689D"/>
    <w:rsid w:val="00776971"/>
    <w:rsid w:val="00776C1A"/>
    <w:rsid w:val="00777631"/>
    <w:rsid w:val="00780A80"/>
    <w:rsid w:val="00780E25"/>
    <w:rsid w:val="0078177E"/>
    <w:rsid w:val="00782027"/>
    <w:rsid w:val="00782690"/>
    <w:rsid w:val="00782BF8"/>
    <w:rsid w:val="0078304C"/>
    <w:rsid w:val="00783340"/>
    <w:rsid w:val="00783673"/>
    <w:rsid w:val="007836B0"/>
    <w:rsid w:val="007837BD"/>
    <w:rsid w:val="00783D57"/>
    <w:rsid w:val="00785490"/>
    <w:rsid w:val="007860A7"/>
    <w:rsid w:val="007863A0"/>
    <w:rsid w:val="007863F2"/>
    <w:rsid w:val="00786723"/>
    <w:rsid w:val="0078714A"/>
    <w:rsid w:val="00787B66"/>
    <w:rsid w:val="00790066"/>
    <w:rsid w:val="00791C11"/>
    <w:rsid w:val="007925EA"/>
    <w:rsid w:val="00792BB6"/>
    <w:rsid w:val="00792F6B"/>
    <w:rsid w:val="00793CD8"/>
    <w:rsid w:val="00794552"/>
    <w:rsid w:val="00795C92"/>
    <w:rsid w:val="00796231"/>
    <w:rsid w:val="00796FEE"/>
    <w:rsid w:val="00797173"/>
    <w:rsid w:val="0079745C"/>
    <w:rsid w:val="007A00FB"/>
    <w:rsid w:val="007A1A91"/>
    <w:rsid w:val="007A1C33"/>
    <w:rsid w:val="007A1CB3"/>
    <w:rsid w:val="007A2222"/>
    <w:rsid w:val="007A2E63"/>
    <w:rsid w:val="007A306F"/>
    <w:rsid w:val="007A32D1"/>
    <w:rsid w:val="007A3332"/>
    <w:rsid w:val="007A3A24"/>
    <w:rsid w:val="007A43A6"/>
    <w:rsid w:val="007A44B6"/>
    <w:rsid w:val="007A58A6"/>
    <w:rsid w:val="007A6A57"/>
    <w:rsid w:val="007A7736"/>
    <w:rsid w:val="007A7C3E"/>
    <w:rsid w:val="007B0A32"/>
    <w:rsid w:val="007B1AF2"/>
    <w:rsid w:val="007B23C8"/>
    <w:rsid w:val="007B3D2D"/>
    <w:rsid w:val="007B50AE"/>
    <w:rsid w:val="007B51DF"/>
    <w:rsid w:val="007B58DF"/>
    <w:rsid w:val="007B60E3"/>
    <w:rsid w:val="007B686E"/>
    <w:rsid w:val="007B6CE8"/>
    <w:rsid w:val="007B6DAC"/>
    <w:rsid w:val="007C0410"/>
    <w:rsid w:val="007C05DD"/>
    <w:rsid w:val="007C10CD"/>
    <w:rsid w:val="007C1730"/>
    <w:rsid w:val="007C1FF2"/>
    <w:rsid w:val="007C2B8F"/>
    <w:rsid w:val="007C3D18"/>
    <w:rsid w:val="007C48FB"/>
    <w:rsid w:val="007C5AC9"/>
    <w:rsid w:val="007C60BF"/>
    <w:rsid w:val="007C62ED"/>
    <w:rsid w:val="007C6A07"/>
    <w:rsid w:val="007C6F3D"/>
    <w:rsid w:val="007C707D"/>
    <w:rsid w:val="007C75A1"/>
    <w:rsid w:val="007C77A5"/>
    <w:rsid w:val="007D04E5"/>
    <w:rsid w:val="007D2D77"/>
    <w:rsid w:val="007D310E"/>
    <w:rsid w:val="007D35E8"/>
    <w:rsid w:val="007D3940"/>
    <w:rsid w:val="007D4E76"/>
    <w:rsid w:val="007D5220"/>
    <w:rsid w:val="007D5901"/>
    <w:rsid w:val="007D63A2"/>
    <w:rsid w:val="007D68A4"/>
    <w:rsid w:val="007D741A"/>
    <w:rsid w:val="007D7526"/>
    <w:rsid w:val="007D7A99"/>
    <w:rsid w:val="007D7B4E"/>
    <w:rsid w:val="007E0D76"/>
    <w:rsid w:val="007E1772"/>
    <w:rsid w:val="007E23E9"/>
    <w:rsid w:val="007E33A8"/>
    <w:rsid w:val="007E3A55"/>
    <w:rsid w:val="007E4610"/>
    <w:rsid w:val="007E4715"/>
    <w:rsid w:val="007E505B"/>
    <w:rsid w:val="007E7091"/>
    <w:rsid w:val="007E7BC8"/>
    <w:rsid w:val="007F01D1"/>
    <w:rsid w:val="007F0414"/>
    <w:rsid w:val="007F3586"/>
    <w:rsid w:val="007F3918"/>
    <w:rsid w:val="007F3A4D"/>
    <w:rsid w:val="007F3B8F"/>
    <w:rsid w:val="007F4DCD"/>
    <w:rsid w:val="007F6CFB"/>
    <w:rsid w:val="007F70AE"/>
    <w:rsid w:val="00801391"/>
    <w:rsid w:val="0080251F"/>
    <w:rsid w:val="008026F1"/>
    <w:rsid w:val="00803535"/>
    <w:rsid w:val="00803FAE"/>
    <w:rsid w:val="008050CD"/>
    <w:rsid w:val="0080543B"/>
    <w:rsid w:val="00805BDE"/>
    <w:rsid w:val="0080605F"/>
    <w:rsid w:val="00807500"/>
    <w:rsid w:val="00807786"/>
    <w:rsid w:val="0081143E"/>
    <w:rsid w:val="00811FCB"/>
    <w:rsid w:val="00812D7F"/>
    <w:rsid w:val="00813736"/>
    <w:rsid w:val="00814700"/>
    <w:rsid w:val="008158D6"/>
    <w:rsid w:val="00817196"/>
    <w:rsid w:val="00817D83"/>
    <w:rsid w:val="00822B39"/>
    <w:rsid w:val="00822BEF"/>
    <w:rsid w:val="008230C7"/>
    <w:rsid w:val="008235DB"/>
    <w:rsid w:val="00823685"/>
    <w:rsid w:val="00823848"/>
    <w:rsid w:val="00824AB4"/>
    <w:rsid w:val="00825C42"/>
    <w:rsid w:val="00825C78"/>
    <w:rsid w:val="00825D25"/>
    <w:rsid w:val="00825E54"/>
    <w:rsid w:val="00826588"/>
    <w:rsid w:val="00826DC2"/>
    <w:rsid w:val="008276C3"/>
    <w:rsid w:val="00827D6F"/>
    <w:rsid w:val="00831A2B"/>
    <w:rsid w:val="0083207E"/>
    <w:rsid w:val="0083218E"/>
    <w:rsid w:val="008322D4"/>
    <w:rsid w:val="00832ABA"/>
    <w:rsid w:val="00832EF0"/>
    <w:rsid w:val="00834BA7"/>
    <w:rsid w:val="0083538C"/>
    <w:rsid w:val="00835CF4"/>
    <w:rsid w:val="008376AC"/>
    <w:rsid w:val="00840919"/>
    <w:rsid w:val="008413D0"/>
    <w:rsid w:val="00841994"/>
    <w:rsid w:val="00842121"/>
    <w:rsid w:val="00843092"/>
    <w:rsid w:val="008431F1"/>
    <w:rsid w:val="00843E94"/>
    <w:rsid w:val="008444E8"/>
    <w:rsid w:val="008448CB"/>
    <w:rsid w:val="00844B05"/>
    <w:rsid w:val="00844E80"/>
    <w:rsid w:val="008462B0"/>
    <w:rsid w:val="00846B4E"/>
    <w:rsid w:val="00846FE7"/>
    <w:rsid w:val="00850535"/>
    <w:rsid w:val="00851142"/>
    <w:rsid w:val="008512E2"/>
    <w:rsid w:val="0085175B"/>
    <w:rsid w:val="0085254B"/>
    <w:rsid w:val="008529A0"/>
    <w:rsid w:val="00853FCB"/>
    <w:rsid w:val="00854630"/>
    <w:rsid w:val="00856735"/>
    <w:rsid w:val="008568DC"/>
    <w:rsid w:val="00856911"/>
    <w:rsid w:val="0085730E"/>
    <w:rsid w:val="00857B4C"/>
    <w:rsid w:val="0086149A"/>
    <w:rsid w:val="00861CF1"/>
    <w:rsid w:val="0086269A"/>
    <w:rsid w:val="0086294F"/>
    <w:rsid w:val="00863757"/>
    <w:rsid w:val="008649F7"/>
    <w:rsid w:val="00864DB0"/>
    <w:rsid w:val="00864F7F"/>
    <w:rsid w:val="008677D2"/>
    <w:rsid w:val="008677FD"/>
    <w:rsid w:val="0086798D"/>
    <w:rsid w:val="00867D4F"/>
    <w:rsid w:val="008706D4"/>
    <w:rsid w:val="00870743"/>
    <w:rsid w:val="00870D67"/>
    <w:rsid w:val="00870F8A"/>
    <w:rsid w:val="0087117A"/>
    <w:rsid w:val="008719A4"/>
    <w:rsid w:val="00871D23"/>
    <w:rsid w:val="008726BD"/>
    <w:rsid w:val="00872FB4"/>
    <w:rsid w:val="00872FDE"/>
    <w:rsid w:val="00874312"/>
    <w:rsid w:val="0087437C"/>
    <w:rsid w:val="008747C9"/>
    <w:rsid w:val="0087508E"/>
    <w:rsid w:val="00875CD7"/>
    <w:rsid w:val="00876440"/>
    <w:rsid w:val="00876B4D"/>
    <w:rsid w:val="00876C74"/>
    <w:rsid w:val="00877F18"/>
    <w:rsid w:val="00881B69"/>
    <w:rsid w:val="00881D37"/>
    <w:rsid w:val="00882579"/>
    <w:rsid w:val="00882C3D"/>
    <w:rsid w:val="008847A0"/>
    <w:rsid w:val="00885400"/>
    <w:rsid w:val="008854BB"/>
    <w:rsid w:val="00886B32"/>
    <w:rsid w:val="00886DC1"/>
    <w:rsid w:val="00890332"/>
    <w:rsid w:val="00890504"/>
    <w:rsid w:val="00891349"/>
    <w:rsid w:val="0089167B"/>
    <w:rsid w:val="00892AA7"/>
    <w:rsid w:val="008941E3"/>
    <w:rsid w:val="00894A88"/>
    <w:rsid w:val="00895386"/>
    <w:rsid w:val="00895563"/>
    <w:rsid w:val="008A07E7"/>
    <w:rsid w:val="008A0B95"/>
    <w:rsid w:val="008A1785"/>
    <w:rsid w:val="008A21FF"/>
    <w:rsid w:val="008A2CE2"/>
    <w:rsid w:val="008A30AC"/>
    <w:rsid w:val="008A31D9"/>
    <w:rsid w:val="008A3B4E"/>
    <w:rsid w:val="008A44B8"/>
    <w:rsid w:val="008A51A8"/>
    <w:rsid w:val="008A54C7"/>
    <w:rsid w:val="008A77D8"/>
    <w:rsid w:val="008B0090"/>
    <w:rsid w:val="008B0257"/>
    <w:rsid w:val="008B0483"/>
    <w:rsid w:val="008B04F1"/>
    <w:rsid w:val="008B120C"/>
    <w:rsid w:val="008B12F8"/>
    <w:rsid w:val="008B2200"/>
    <w:rsid w:val="008B2E79"/>
    <w:rsid w:val="008B42EB"/>
    <w:rsid w:val="008B46B6"/>
    <w:rsid w:val="008B4C09"/>
    <w:rsid w:val="008B51A0"/>
    <w:rsid w:val="008B592A"/>
    <w:rsid w:val="008B633D"/>
    <w:rsid w:val="008B7B5C"/>
    <w:rsid w:val="008C07A5"/>
    <w:rsid w:val="008C0C99"/>
    <w:rsid w:val="008C18B6"/>
    <w:rsid w:val="008C1ECC"/>
    <w:rsid w:val="008C2017"/>
    <w:rsid w:val="008C2173"/>
    <w:rsid w:val="008C279B"/>
    <w:rsid w:val="008C283A"/>
    <w:rsid w:val="008C3164"/>
    <w:rsid w:val="008C4958"/>
    <w:rsid w:val="008C4BAA"/>
    <w:rsid w:val="008C51EB"/>
    <w:rsid w:val="008C51FB"/>
    <w:rsid w:val="008C6AE8"/>
    <w:rsid w:val="008C7573"/>
    <w:rsid w:val="008C76DA"/>
    <w:rsid w:val="008C7C9B"/>
    <w:rsid w:val="008D00A5"/>
    <w:rsid w:val="008D04FA"/>
    <w:rsid w:val="008D0C16"/>
    <w:rsid w:val="008D1A03"/>
    <w:rsid w:val="008D2A8B"/>
    <w:rsid w:val="008D34F1"/>
    <w:rsid w:val="008D39D8"/>
    <w:rsid w:val="008D3EBB"/>
    <w:rsid w:val="008D44B7"/>
    <w:rsid w:val="008D5D02"/>
    <w:rsid w:val="008D661A"/>
    <w:rsid w:val="008D6672"/>
    <w:rsid w:val="008D69B5"/>
    <w:rsid w:val="008D6D1A"/>
    <w:rsid w:val="008E065E"/>
    <w:rsid w:val="008E0927"/>
    <w:rsid w:val="008E1909"/>
    <w:rsid w:val="008E414A"/>
    <w:rsid w:val="008E51E1"/>
    <w:rsid w:val="008E5A68"/>
    <w:rsid w:val="008E5D6E"/>
    <w:rsid w:val="008E6B19"/>
    <w:rsid w:val="008F1C4E"/>
    <w:rsid w:val="008F1EAB"/>
    <w:rsid w:val="008F222E"/>
    <w:rsid w:val="008F245A"/>
    <w:rsid w:val="008F31FB"/>
    <w:rsid w:val="008F33DC"/>
    <w:rsid w:val="008F3E7E"/>
    <w:rsid w:val="008F3E7F"/>
    <w:rsid w:val="008F405A"/>
    <w:rsid w:val="008F477F"/>
    <w:rsid w:val="008F537A"/>
    <w:rsid w:val="008F6E35"/>
    <w:rsid w:val="0090211B"/>
    <w:rsid w:val="00902120"/>
    <w:rsid w:val="00902350"/>
    <w:rsid w:val="0090242A"/>
    <w:rsid w:val="00902595"/>
    <w:rsid w:val="0090336B"/>
    <w:rsid w:val="009037F4"/>
    <w:rsid w:val="009053AA"/>
    <w:rsid w:val="00906016"/>
    <w:rsid w:val="00906939"/>
    <w:rsid w:val="00910B7D"/>
    <w:rsid w:val="00911DFB"/>
    <w:rsid w:val="00912415"/>
    <w:rsid w:val="0091286E"/>
    <w:rsid w:val="009128B4"/>
    <w:rsid w:val="00912C36"/>
    <w:rsid w:val="009132F3"/>
    <w:rsid w:val="009139D9"/>
    <w:rsid w:val="00913AAF"/>
    <w:rsid w:val="00913BD1"/>
    <w:rsid w:val="009140AE"/>
    <w:rsid w:val="00914AD8"/>
    <w:rsid w:val="00914FB3"/>
    <w:rsid w:val="00915C07"/>
    <w:rsid w:val="00916079"/>
    <w:rsid w:val="00916657"/>
    <w:rsid w:val="00917CE9"/>
    <w:rsid w:val="0092075B"/>
    <w:rsid w:val="00920BF2"/>
    <w:rsid w:val="009213DE"/>
    <w:rsid w:val="00922010"/>
    <w:rsid w:val="0092212D"/>
    <w:rsid w:val="00923725"/>
    <w:rsid w:val="00925219"/>
    <w:rsid w:val="00926B00"/>
    <w:rsid w:val="00926E7C"/>
    <w:rsid w:val="0092790E"/>
    <w:rsid w:val="00931BD9"/>
    <w:rsid w:val="00931C7F"/>
    <w:rsid w:val="00932256"/>
    <w:rsid w:val="00932509"/>
    <w:rsid w:val="0093357F"/>
    <w:rsid w:val="009341F8"/>
    <w:rsid w:val="00934794"/>
    <w:rsid w:val="00935123"/>
    <w:rsid w:val="009368F3"/>
    <w:rsid w:val="00937AAA"/>
    <w:rsid w:val="00941636"/>
    <w:rsid w:val="00942150"/>
    <w:rsid w:val="00943089"/>
    <w:rsid w:val="00943742"/>
    <w:rsid w:val="0094406D"/>
    <w:rsid w:val="009447B7"/>
    <w:rsid w:val="009447B8"/>
    <w:rsid w:val="0094562C"/>
    <w:rsid w:val="00945C05"/>
    <w:rsid w:val="00945C46"/>
    <w:rsid w:val="00945F60"/>
    <w:rsid w:val="00946945"/>
    <w:rsid w:val="00946B21"/>
    <w:rsid w:val="00947713"/>
    <w:rsid w:val="00947928"/>
    <w:rsid w:val="00950DE7"/>
    <w:rsid w:val="009513EC"/>
    <w:rsid w:val="00951F58"/>
    <w:rsid w:val="009522FE"/>
    <w:rsid w:val="00952355"/>
    <w:rsid w:val="009532D0"/>
    <w:rsid w:val="009538F6"/>
    <w:rsid w:val="00953920"/>
    <w:rsid w:val="00953D47"/>
    <w:rsid w:val="00954D7E"/>
    <w:rsid w:val="009552B7"/>
    <w:rsid w:val="0095681E"/>
    <w:rsid w:val="009572D4"/>
    <w:rsid w:val="009573AF"/>
    <w:rsid w:val="00957A36"/>
    <w:rsid w:val="00961921"/>
    <w:rsid w:val="009619AF"/>
    <w:rsid w:val="00961D2A"/>
    <w:rsid w:val="00961F58"/>
    <w:rsid w:val="00962324"/>
    <w:rsid w:val="0096297C"/>
    <w:rsid w:val="00963295"/>
    <w:rsid w:val="0096381B"/>
    <w:rsid w:val="0096430A"/>
    <w:rsid w:val="009650C7"/>
    <w:rsid w:val="0096554B"/>
    <w:rsid w:val="009657CC"/>
    <w:rsid w:val="0096584A"/>
    <w:rsid w:val="00965C7E"/>
    <w:rsid w:val="0096647D"/>
    <w:rsid w:val="00966535"/>
    <w:rsid w:val="00966893"/>
    <w:rsid w:val="009669B3"/>
    <w:rsid w:val="00966B95"/>
    <w:rsid w:val="00966D44"/>
    <w:rsid w:val="00967C41"/>
    <w:rsid w:val="00967FEE"/>
    <w:rsid w:val="00971110"/>
    <w:rsid w:val="00971399"/>
    <w:rsid w:val="009713A5"/>
    <w:rsid w:val="00971F08"/>
    <w:rsid w:val="00973A67"/>
    <w:rsid w:val="00975747"/>
    <w:rsid w:val="00975E89"/>
    <w:rsid w:val="0097603D"/>
    <w:rsid w:val="00976949"/>
    <w:rsid w:val="00980477"/>
    <w:rsid w:val="009804BE"/>
    <w:rsid w:val="00980A13"/>
    <w:rsid w:val="00982588"/>
    <w:rsid w:val="00983440"/>
    <w:rsid w:val="00983498"/>
    <w:rsid w:val="00984601"/>
    <w:rsid w:val="009849C2"/>
    <w:rsid w:val="00984E3D"/>
    <w:rsid w:val="00985253"/>
    <w:rsid w:val="009853B3"/>
    <w:rsid w:val="00985683"/>
    <w:rsid w:val="009858D0"/>
    <w:rsid w:val="009872C7"/>
    <w:rsid w:val="00987A0C"/>
    <w:rsid w:val="00990630"/>
    <w:rsid w:val="00991761"/>
    <w:rsid w:val="0099223E"/>
    <w:rsid w:val="009933A5"/>
    <w:rsid w:val="0099360B"/>
    <w:rsid w:val="00993D1B"/>
    <w:rsid w:val="00994DCA"/>
    <w:rsid w:val="009956E7"/>
    <w:rsid w:val="009960EC"/>
    <w:rsid w:val="009970DD"/>
    <w:rsid w:val="0099717B"/>
    <w:rsid w:val="009975F5"/>
    <w:rsid w:val="009A0079"/>
    <w:rsid w:val="009A00DB"/>
    <w:rsid w:val="009A0317"/>
    <w:rsid w:val="009A0EFB"/>
    <w:rsid w:val="009A0FBA"/>
    <w:rsid w:val="009A1601"/>
    <w:rsid w:val="009A1610"/>
    <w:rsid w:val="009A19D1"/>
    <w:rsid w:val="009A3BB6"/>
    <w:rsid w:val="009A462D"/>
    <w:rsid w:val="009A5CBA"/>
    <w:rsid w:val="009A666B"/>
    <w:rsid w:val="009A791A"/>
    <w:rsid w:val="009B00B9"/>
    <w:rsid w:val="009B1F30"/>
    <w:rsid w:val="009B25FB"/>
    <w:rsid w:val="009B3201"/>
    <w:rsid w:val="009B3285"/>
    <w:rsid w:val="009B3AC2"/>
    <w:rsid w:val="009B42AA"/>
    <w:rsid w:val="009B49B5"/>
    <w:rsid w:val="009B4DE8"/>
    <w:rsid w:val="009B4DF4"/>
    <w:rsid w:val="009B564E"/>
    <w:rsid w:val="009B58FF"/>
    <w:rsid w:val="009B5BC7"/>
    <w:rsid w:val="009B658C"/>
    <w:rsid w:val="009B6764"/>
    <w:rsid w:val="009B718C"/>
    <w:rsid w:val="009B7E87"/>
    <w:rsid w:val="009C0169"/>
    <w:rsid w:val="009C0A42"/>
    <w:rsid w:val="009C0D74"/>
    <w:rsid w:val="009C15E3"/>
    <w:rsid w:val="009C2E03"/>
    <w:rsid w:val="009C394A"/>
    <w:rsid w:val="009C3AD3"/>
    <w:rsid w:val="009C403E"/>
    <w:rsid w:val="009C4F0B"/>
    <w:rsid w:val="009C5BCE"/>
    <w:rsid w:val="009C5FF2"/>
    <w:rsid w:val="009D0C21"/>
    <w:rsid w:val="009D1EC7"/>
    <w:rsid w:val="009D1F7B"/>
    <w:rsid w:val="009D246A"/>
    <w:rsid w:val="009D3977"/>
    <w:rsid w:val="009D4DEE"/>
    <w:rsid w:val="009D4FF0"/>
    <w:rsid w:val="009D5D33"/>
    <w:rsid w:val="009D66CA"/>
    <w:rsid w:val="009D703C"/>
    <w:rsid w:val="009D718F"/>
    <w:rsid w:val="009E068F"/>
    <w:rsid w:val="009E0DA6"/>
    <w:rsid w:val="009E14E0"/>
    <w:rsid w:val="009E162F"/>
    <w:rsid w:val="009E17F8"/>
    <w:rsid w:val="009E295B"/>
    <w:rsid w:val="009E2A4C"/>
    <w:rsid w:val="009E35DB"/>
    <w:rsid w:val="009E45C6"/>
    <w:rsid w:val="009E47A3"/>
    <w:rsid w:val="009E4806"/>
    <w:rsid w:val="009E5DA2"/>
    <w:rsid w:val="009E5E97"/>
    <w:rsid w:val="009E6B1B"/>
    <w:rsid w:val="009E6D70"/>
    <w:rsid w:val="009E6ED2"/>
    <w:rsid w:val="009E73EF"/>
    <w:rsid w:val="009E79A7"/>
    <w:rsid w:val="009F0256"/>
    <w:rsid w:val="009F08F3"/>
    <w:rsid w:val="009F13B7"/>
    <w:rsid w:val="009F1DD1"/>
    <w:rsid w:val="009F2833"/>
    <w:rsid w:val="009F28E8"/>
    <w:rsid w:val="009F291E"/>
    <w:rsid w:val="009F2E2B"/>
    <w:rsid w:val="009F344F"/>
    <w:rsid w:val="009F3780"/>
    <w:rsid w:val="009F7872"/>
    <w:rsid w:val="00A00D93"/>
    <w:rsid w:val="00A020DA"/>
    <w:rsid w:val="00A031D8"/>
    <w:rsid w:val="00A03E46"/>
    <w:rsid w:val="00A042B7"/>
    <w:rsid w:val="00A048A8"/>
    <w:rsid w:val="00A04F49"/>
    <w:rsid w:val="00A06364"/>
    <w:rsid w:val="00A07BCC"/>
    <w:rsid w:val="00A10A31"/>
    <w:rsid w:val="00A11305"/>
    <w:rsid w:val="00A11324"/>
    <w:rsid w:val="00A11A2F"/>
    <w:rsid w:val="00A12A10"/>
    <w:rsid w:val="00A1390A"/>
    <w:rsid w:val="00A13B0C"/>
    <w:rsid w:val="00A13E54"/>
    <w:rsid w:val="00A153B3"/>
    <w:rsid w:val="00A17F63"/>
    <w:rsid w:val="00A2018B"/>
    <w:rsid w:val="00A20CEA"/>
    <w:rsid w:val="00A20EEA"/>
    <w:rsid w:val="00A2193B"/>
    <w:rsid w:val="00A21DCD"/>
    <w:rsid w:val="00A22CEE"/>
    <w:rsid w:val="00A23153"/>
    <w:rsid w:val="00A2351A"/>
    <w:rsid w:val="00A23652"/>
    <w:rsid w:val="00A23D26"/>
    <w:rsid w:val="00A25374"/>
    <w:rsid w:val="00A264A9"/>
    <w:rsid w:val="00A26DCF"/>
    <w:rsid w:val="00A27019"/>
    <w:rsid w:val="00A27201"/>
    <w:rsid w:val="00A27785"/>
    <w:rsid w:val="00A27D67"/>
    <w:rsid w:val="00A300FD"/>
    <w:rsid w:val="00A30187"/>
    <w:rsid w:val="00A30F73"/>
    <w:rsid w:val="00A31730"/>
    <w:rsid w:val="00A3273E"/>
    <w:rsid w:val="00A32D65"/>
    <w:rsid w:val="00A33DE4"/>
    <w:rsid w:val="00A3448A"/>
    <w:rsid w:val="00A34B73"/>
    <w:rsid w:val="00A34C48"/>
    <w:rsid w:val="00A36297"/>
    <w:rsid w:val="00A36580"/>
    <w:rsid w:val="00A377A2"/>
    <w:rsid w:val="00A37E06"/>
    <w:rsid w:val="00A4085C"/>
    <w:rsid w:val="00A40C7A"/>
    <w:rsid w:val="00A40CFE"/>
    <w:rsid w:val="00A41080"/>
    <w:rsid w:val="00A4154D"/>
    <w:rsid w:val="00A416C9"/>
    <w:rsid w:val="00A41E2B"/>
    <w:rsid w:val="00A43333"/>
    <w:rsid w:val="00A44727"/>
    <w:rsid w:val="00A449F7"/>
    <w:rsid w:val="00A45B74"/>
    <w:rsid w:val="00A46949"/>
    <w:rsid w:val="00A46E79"/>
    <w:rsid w:val="00A4711D"/>
    <w:rsid w:val="00A478EE"/>
    <w:rsid w:val="00A52473"/>
    <w:rsid w:val="00A52E1D"/>
    <w:rsid w:val="00A53068"/>
    <w:rsid w:val="00A53CD0"/>
    <w:rsid w:val="00A54FCF"/>
    <w:rsid w:val="00A57E8A"/>
    <w:rsid w:val="00A61499"/>
    <w:rsid w:val="00A61691"/>
    <w:rsid w:val="00A62883"/>
    <w:rsid w:val="00A62A19"/>
    <w:rsid w:val="00A62A77"/>
    <w:rsid w:val="00A63483"/>
    <w:rsid w:val="00A64711"/>
    <w:rsid w:val="00A657D7"/>
    <w:rsid w:val="00A660AC"/>
    <w:rsid w:val="00A661B3"/>
    <w:rsid w:val="00A67966"/>
    <w:rsid w:val="00A67AB3"/>
    <w:rsid w:val="00A67E6C"/>
    <w:rsid w:val="00A713D8"/>
    <w:rsid w:val="00A71B99"/>
    <w:rsid w:val="00A71F86"/>
    <w:rsid w:val="00A730EA"/>
    <w:rsid w:val="00A7396E"/>
    <w:rsid w:val="00A739D0"/>
    <w:rsid w:val="00A758D6"/>
    <w:rsid w:val="00A761D4"/>
    <w:rsid w:val="00A77295"/>
    <w:rsid w:val="00A77EC4"/>
    <w:rsid w:val="00A8005D"/>
    <w:rsid w:val="00A81FD6"/>
    <w:rsid w:val="00A825D3"/>
    <w:rsid w:val="00A8296B"/>
    <w:rsid w:val="00A8414B"/>
    <w:rsid w:val="00A85A56"/>
    <w:rsid w:val="00A85CDC"/>
    <w:rsid w:val="00A85E2E"/>
    <w:rsid w:val="00A85F9D"/>
    <w:rsid w:val="00A86BEA"/>
    <w:rsid w:val="00A87572"/>
    <w:rsid w:val="00A91EDA"/>
    <w:rsid w:val="00A92879"/>
    <w:rsid w:val="00A93020"/>
    <w:rsid w:val="00A9442A"/>
    <w:rsid w:val="00A95CB6"/>
    <w:rsid w:val="00A95E1C"/>
    <w:rsid w:val="00A96B0F"/>
    <w:rsid w:val="00A96C70"/>
    <w:rsid w:val="00A97373"/>
    <w:rsid w:val="00A97862"/>
    <w:rsid w:val="00A97BA2"/>
    <w:rsid w:val="00AA016F"/>
    <w:rsid w:val="00AA0ACD"/>
    <w:rsid w:val="00AA12AA"/>
    <w:rsid w:val="00AA1330"/>
    <w:rsid w:val="00AA1ED6"/>
    <w:rsid w:val="00AA2656"/>
    <w:rsid w:val="00AA2EAE"/>
    <w:rsid w:val="00AA38A8"/>
    <w:rsid w:val="00AA40C5"/>
    <w:rsid w:val="00AA41B0"/>
    <w:rsid w:val="00AA477D"/>
    <w:rsid w:val="00AA506B"/>
    <w:rsid w:val="00AA51D6"/>
    <w:rsid w:val="00AA5912"/>
    <w:rsid w:val="00AA59E5"/>
    <w:rsid w:val="00AA6A34"/>
    <w:rsid w:val="00AA6DED"/>
    <w:rsid w:val="00AA70D8"/>
    <w:rsid w:val="00AB02DC"/>
    <w:rsid w:val="00AB0BC8"/>
    <w:rsid w:val="00AB0FE0"/>
    <w:rsid w:val="00AB11CA"/>
    <w:rsid w:val="00AB14D9"/>
    <w:rsid w:val="00AB1803"/>
    <w:rsid w:val="00AB2B13"/>
    <w:rsid w:val="00AB3DDB"/>
    <w:rsid w:val="00AB420B"/>
    <w:rsid w:val="00AB488C"/>
    <w:rsid w:val="00AB4AB8"/>
    <w:rsid w:val="00AB54F0"/>
    <w:rsid w:val="00AB601E"/>
    <w:rsid w:val="00AB655E"/>
    <w:rsid w:val="00AB69E3"/>
    <w:rsid w:val="00AB6EF6"/>
    <w:rsid w:val="00AB79C9"/>
    <w:rsid w:val="00AC007F"/>
    <w:rsid w:val="00AC0B81"/>
    <w:rsid w:val="00AC10DF"/>
    <w:rsid w:val="00AC1607"/>
    <w:rsid w:val="00AC1924"/>
    <w:rsid w:val="00AC2ECD"/>
    <w:rsid w:val="00AC3119"/>
    <w:rsid w:val="00AC31C8"/>
    <w:rsid w:val="00AC3F62"/>
    <w:rsid w:val="00AC40AE"/>
    <w:rsid w:val="00AC49FB"/>
    <w:rsid w:val="00AC544B"/>
    <w:rsid w:val="00AC5A10"/>
    <w:rsid w:val="00AC5B09"/>
    <w:rsid w:val="00AC7F5A"/>
    <w:rsid w:val="00AD0091"/>
    <w:rsid w:val="00AD0AA3"/>
    <w:rsid w:val="00AD2ED0"/>
    <w:rsid w:val="00AD31DC"/>
    <w:rsid w:val="00AD330C"/>
    <w:rsid w:val="00AD387A"/>
    <w:rsid w:val="00AD3901"/>
    <w:rsid w:val="00AD39FD"/>
    <w:rsid w:val="00AD3F94"/>
    <w:rsid w:val="00AD486A"/>
    <w:rsid w:val="00AD4A5A"/>
    <w:rsid w:val="00AD4F70"/>
    <w:rsid w:val="00AD5C87"/>
    <w:rsid w:val="00AD652B"/>
    <w:rsid w:val="00AD6662"/>
    <w:rsid w:val="00AE1D68"/>
    <w:rsid w:val="00AE24CD"/>
    <w:rsid w:val="00AE27AC"/>
    <w:rsid w:val="00AE3428"/>
    <w:rsid w:val="00AE40E0"/>
    <w:rsid w:val="00AE43E8"/>
    <w:rsid w:val="00AE48C9"/>
    <w:rsid w:val="00AE4DBA"/>
    <w:rsid w:val="00AE4F07"/>
    <w:rsid w:val="00AE7D26"/>
    <w:rsid w:val="00AE7E0D"/>
    <w:rsid w:val="00AF1B00"/>
    <w:rsid w:val="00AF1C5D"/>
    <w:rsid w:val="00AF2B20"/>
    <w:rsid w:val="00AF42D7"/>
    <w:rsid w:val="00AF4DF3"/>
    <w:rsid w:val="00AF51DC"/>
    <w:rsid w:val="00AF53A7"/>
    <w:rsid w:val="00AF78F0"/>
    <w:rsid w:val="00B006FE"/>
    <w:rsid w:val="00B007CB"/>
    <w:rsid w:val="00B00F7F"/>
    <w:rsid w:val="00B0112B"/>
    <w:rsid w:val="00B02739"/>
    <w:rsid w:val="00B02AA9"/>
    <w:rsid w:val="00B02FA3"/>
    <w:rsid w:val="00B03362"/>
    <w:rsid w:val="00B05084"/>
    <w:rsid w:val="00B105DE"/>
    <w:rsid w:val="00B11E9C"/>
    <w:rsid w:val="00B12D9A"/>
    <w:rsid w:val="00B13F84"/>
    <w:rsid w:val="00B15015"/>
    <w:rsid w:val="00B153B8"/>
    <w:rsid w:val="00B157F9"/>
    <w:rsid w:val="00B15FD5"/>
    <w:rsid w:val="00B161C2"/>
    <w:rsid w:val="00B16383"/>
    <w:rsid w:val="00B16EE7"/>
    <w:rsid w:val="00B20256"/>
    <w:rsid w:val="00B20D09"/>
    <w:rsid w:val="00B22004"/>
    <w:rsid w:val="00B2215C"/>
    <w:rsid w:val="00B222CE"/>
    <w:rsid w:val="00B222D3"/>
    <w:rsid w:val="00B2309A"/>
    <w:rsid w:val="00B25430"/>
    <w:rsid w:val="00B25796"/>
    <w:rsid w:val="00B25E2B"/>
    <w:rsid w:val="00B26360"/>
    <w:rsid w:val="00B2757F"/>
    <w:rsid w:val="00B2763F"/>
    <w:rsid w:val="00B276A1"/>
    <w:rsid w:val="00B27AAC"/>
    <w:rsid w:val="00B30608"/>
    <w:rsid w:val="00B30929"/>
    <w:rsid w:val="00B316A8"/>
    <w:rsid w:val="00B3189C"/>
    <w:rsid w:val="00B33ED9"/>
    <w:rsid w:val="00B34D57"/>
    <w:rsid w:val="00B36895"/>
    <w:rsid w:val="00B372AA"/>
    <w:rsid w:val="00B373E9"/>
    <w:rsid w:val="00B40445"/>
    <w:rsid w:val="00B40577"/>
    <w:rsid w:val="00B405B2"/>
    <w:rsid w:val="00B4081E"/>
    <w:rsid w:val="00B409E0"/>
    <w:rsid w:val="00B41888"/>
    <w:rsid w:val="00B43270"/>
    <w:rsid w:val="00B44D36"/>
    <w:rsid w:val="00B44D3D"/>
    <w:rsid w:val="00B44D5E"/>
    <w:rsid w:val="00B459BE"/>
    <w:rsid w:val="00B45A52"/>
    <w:rsid w:val="00B45D32"/>
    <w:rsid w:val="00B46175"/>
    <w:rsid w:val="00B474CA"/>
    <w:rsid w:val="00B5042D"/>
    <w:rsid w:val="00B51A9A"/>
    <w:rsid w:val="00B52DFA"/>
    <w:rsid w:val="00B548B7"/>
    <w:rsid w:val="00B55656"/>
    <w:rsid w:val="00B55967"/>
    <w:rsid w:val="00B55D10"/>
    <w:rsid w:val="00B56324"/>
    <w:rsid w:val="00B56BF1"/>
    <w:rsid w:val="00B56D43"/>
    <w:rsid w:val="00B573AF"/>
    <w:rsid w:val="00B5753C"/>
    <w:rsid w:val="00B57CA5"/>
    <w:rsid w:val="00B605AE"/>
    <w:rsid w:val="00B610CF"/>
    <w:rsid w:val="00B62946"/>
    <w:rsid w:val="00B64BD3"/>
    <w:rsid w:val="00B6517F"/>
    <w:rsid w:val="00B664C7"/>
    <w:rsid w:val="00B66ABB"/>
    <w:rsid w:val="00B66DF6"/>
    <w:rsid w:val="00B67320"/>
    <w:rsid w:val="00B674F7"/>
    <w:rsid w:val="00B703A9"/>
    <w:rsid w:val="00B70D3C"/>
    <w:rsid w:val="00B70ECA"/>
    <w:rsid w:val="00B713D8"/>
    <w:rsid w:val="00B72300"/>
    <w:rsid w:val="00B72E23"/>
    <w:rsid w:val="00B739F6"/>
    <w:rsid w:val="00B73A95"/>
    <w:rsid w:val="00B73E3F"/>
    <w:rsid w:val="00B74512"/>
    <w:rsid w:val="00B76651"/>
    <w:rsid w:val="00B77660"/>
    <w:rsid w:val="00B80A74"/>
    <w:rsid w:val="00B81A6C"/>
    <w:rsid w:val="00B82DF0"/>
    <w:rsid w:val="00B8466F"/>
    <w:rsid w:val="00B84DE8"/>
    <w:rsid w:val="00B84E54"/>
    <w:rsid w:val="00B85DE5"/>
    <w:rsid w:val="00B866F8"/>
    <w:rsid w:val="00B86C96"/>
    <w:rsid w:val="00B87E22"/>
    <w:rsid w:val="00B90F73"/>
    <w:rsid w:val="00B910CA"/>
    <w:rsid w:val="00B9155D"/>
    <w:rsid w:val="00B91AA0"/>
    <w:rsid w:val="00B91D39"/>
    <w:rsid w:val="00B9230C"/>
    <w:rsid w:val="00B93B59"/>
    <w:rsid w:val="00B9406A"/>
    <w:rsid w:val="00B94ACE"/>
    <w:rsid w:val="00B94E04"/>
    <w:rsid w:val="00B96BE4"/>
    <w:rsid w:val="00B97BE1"/>
    <w:rsid w:val="00BA047D"/>
    <w:rsid w:val="00BA2280"/>
    <w:rsid w:val="00BA2A08"/>
    <w:rsid w:val="00BA2BDE"/>
    <w:rsid w:val="00BA2F58"/>
    <w:rsid w:val="00BA3A11"/>
    <w:rsid w:val="00BA464A"/>
    <w:rsid w:val="00BA4C4A"/>
    <w:rsid w:val="00BA50DF"/>
    <w:rsid w:val="00BA536E"/>
    <w:rsid w:val="00BA56D2"/>
    <w:rsid w:val="00BA7331"/>
    <w:rsid w:val="00BA76E0"/>
    <w:rsid w:val="00BA7C7D"/>
    <w:rsid w:val="00BB1F1D"/>
    <w:rsid w:val="00BB2611"/>
    <w:rsid w:val="00BB2A25"/>
    <w:rsid w:val="00BB48EA"/>
    <w:rsid w:val="00BB4922"/>
    <w:rsid w:val="00BB4C72"/>
    <w:rsid w:val="00BB51E9"/>
    <w:rsid w:val="00BB5560"/>
    <w:rsid w:val="00BB669F"/>
    <w:rsid w:val="00BB70D4"/>
    <w:rsid w:val="00BC045D"/>
    <w:rsid w:val="00BC0D47"/>
    <w:rsid w:val="00BC0FDC"/>
    <w:rsid w:val="00BC1BB0"/>
    <w:rsid w:val="00BC24F2"/>
    <w:rsid w:val="00BC3053"/>
    <w:rsid w:val="00BC3260"/>
    <w:rsid w:val="00BC4AEB"/>
    <w:rsid w:val="00BC4D2E"/>
    <w:rsid w:val="00BC50FB"/>
    <w:rsid w:val="00BC5B3E"/>
    <w:rsid w:val="00BC5FB3"/>
    <w:rsid w:val="00BC793C"/>
    <w:rsid w:val="00BD00F8"/>
    <w:rsid w:val="00BD2A03"/>
    <w:rsid w:val="00BD3297"/>
    <w:rsid w:val="00BD342E"/>
    <w:rsid w:val="00BD3466"/>
    <w:rsid w:val="00BD3826"/>
    <w:rsid w:val="00BD3EBE"/>
    <w:rsid w:val="00BD48AC"/>
    <w:rsid w:val="00BD594C"/>
    <w:rsid w:val="00BD5F1A"/>
    <w:rsid w:val="00BD7242"/>
    <w:rsid w:val="00BD775D"/>
    <w:rsid w:val="00BE02C2"/>
    <w:rsid w:val="00BE0BBB"/>
    <w:rsid w:val="00BE1234"/>
    <w:rsid w:val="00BE16CF"/>
    <w:rsid w:val="00BE183B"/>
    <w:rsid w:val="00BE2FA6"/>
    <w:rsid w:val="00BE333F"/>
    <w:rsid w:val="00BE42F4"/>
    <w:rsid w:val="00BE51A9"/>
    <w:rsid w:val="00BE572D"/>
    <w:rsid w:val="00BE7406"/>
    <w:rsid w:val="00BE7603"/>
    <w:rsid w:val="00BE775B"/>
    <w:rsid w:val="00BE7897"/>
    <w:rsid w:val="00BE7C8D"/>
    <w:rsid w:val="00BF0697"/>
    <w:rsid w:val="00BF080D"/>
    <w:rsid w:val="00BF2A9A"/>
    <w:rsid w:val="00BF3279"/>
    <w:rsid w:val="00BF5ED9"/>
    <w:rsid w:val="00BF6801"/>
    <w:rsid w:val="00BF74C7"/>
    <w:rsid w:val="00C00708"/>
    <w:rsid w:val="00C008B1"/>
    <w:rsid w:val="00C015F1"/>
    <w:rsid w:val="00C01F33"/>
    <w:rsid w:val="00C023FF"/>
    <w:rsid w:val="00C0284C"/>
    <w:rsid w:val="00C02CC6"/>
    <w:rsid w:val="00C0328D"/>
    <w:rsid w:val="00C040F7"/>
    <w:rsid w:val="00C044AB"/>
    <w:rsid w:val="00C045A2"/>
    <w:rsid w:val="00C04C73"/>
    <w:rsid w:val="00C05234"/>
    <w:rsid w:val="00C05706"/>
    <w:rsid w:val="00C060E3"/>
    <w:rsid w:val="00C06796"/>
    <w:rsid w:val="00C07377"/>
    <w:rsid w:val="00C101EA"/>
    <w:rsid w:val="00C10478"/>
    <w:rsid w:val="00C104EC"/>
    <w:rsid w:val="00C11206"/>
    <w:rsid w:val="00C1162D"/>
    <w:rsid w:val="00C12107"/>
    <w:rsid w:val="00C13FC3"/>
    <w:rsid w:val="00C14D4B"/>
    <w:rsid w:val="00C15290"/>
    <w:rsid w:val="00C154BB"/>
    <w:rsid w:val="00C1647B"/>
    <w:rsid w:val="00C16D32"/>
    <w:rsid w:val="00C17F12"/>
    <w:rsid w:val="00C206C8"/>
    <w:rsid w:val="00C22023"/>
    <w:rsid w:val="00C226A9"/>
    <w:rsid w:val="00C23177"/>
    <w:rsid w:val="00C23C10"/>
    <w:rsid w:val="00C24A31"/>
    <w:rsid w:val="00C25E5D"/>
    <w:rsid w:val="00C273BA"/>
    <w:rsid w:val="00C279B5"/>
    <w:rsid w:val="00C27C45"/>
    <w:rsid w:val="00C30279"/>
    <w:rsid w:val="00C30F10"/>
    <w:rsid w:val="00C319BD"/>
    <w:rsid w:val="00C31F25"/>
    <w:rsid w:val="00C321BC"/>
    <w:rsid w:val="00C32988"/>
    <w:rsid w:val="00C3329C"/>
    <w:rsid w:val="00C347FD"/>
    <w:rsid w:val="00C34989"/>
    <w:rsid w:val="00C349E1"/>
    <w:rsid w:val="00C34DA4"/>
    <w:rsid w:val="00C351F6"/>
    <w:rsid w:val="00C358D7"/>
    <w:rsid w:val="00C35DBC"/>
    <w:rsid w:val="00C36120"/>
    <w:rsid w:val="00C367EE"/>
    <w:rsid w:val="00C3719D"/>
    <w:rsid w:val="00C372F1"/>
    <w:rsid w:val="00C37924"/>
    <w:rsid w:val="00C37CB2"/>
    <w:rsid w:val="00C417EB"/>
    <w:rsid w:val="00C42D24"/>
    <w:rsid w:val="00C43345"/>
    <w:rsid w:val="00C45652"/>
    <w:rsid w:val="00C469CA"/>
    <w:rsid w:val="00C473A5"/>
    <w:rsid w:val="00C47F1D"/>
    <w:rsid w:val="00C50896"/>
    <w:rsid w:val="00C51387"/>
    <w:rsid w:val="00C51FEE"/>
    <w:rsid w:val="00C520E4"/>
    <w:rsid w:val="00C52465"/>
    <w:rsid w:val="00C525DA"/>
    <w:rsid w:val="00C52D87"/>
    <w:rsid w:val="00C536C3"/>
    <w:rsid w:val="00C54995"/>
    <w:rsid w:val="00C54A3B"/>
    <w:rsid w:val="00C54D41"/>
    <w:rsid w:val="00C55752"/>
    <w:rsid w:val="00C55909"/>
    <w:rsid w:val="00C56822"/>
    <w:rsid w:val="00C57A9D"/>
    <w:rsid w:val="00C57B38"/>
    <w:rsid w:val="00C60149"/>
    <w:rsid w:val="00C604B9"/>
    <w:rsid w:val="00C60783"/>
    <w:rsid w:val="00C612C7"/>
    <w:rsid w:val="00C61837"/>
    <w:rsid w:val="00C61CE4"/>
    <w:rsid w:val="00C61E3E"/>
    <w:rsid w:val="00C62179"/>
    <w:rsid w:val="00C625F2"/>
    <w:rsid w:val="00C64672"/>
    <w:rsid w:val="00C66691"/>
    <w:rsid w:val="00C66A2A"/>
    <w:rsid w:val="00C70697"/>
    <w:rsid w:val="00C70FFF"/>
    <w:rsid w:val="00C712F6"/>
    <w:rsid w:val="00C716AD"/>
    <w:rsid w:val="00C71B66"/>
    <w:rsid w:val="00C72093"/>
    <w:rsid w:val="00C72B84"/>
    <w:rsid w:val="00C72D28"/>
    <w:rsid w:val="00C72EF4"/>
    <w:rsid w:val="00C744FE"/>
    <w:rsid w:val="00C74D66"/>
    <w:rsid w:val="00C75B09"/>
    <w:rsid w:val="00C75D2F"/>
    <w:rsid w:val="00C766BE"/>
    <w:rsid w:val="00C76774"/>
    <w:rsid w:val="00C767BE"/>
    <w:rsid w:val="00C76E3C"/>
    <w:rsid w:val="00C80EE5"/>
    <w:rsid w:val="00C81568"/>
    <w:rsid w:val="00C83859"/>
    <w:rsid w:val="00C83B13"/>
    <w:rsid w:val="00C840FD"/>
    <w:rsid w:val="00C8451C"/>
    <w:rsid w:val="00C84D5F"/>
    <w:rsid w:val="00C84FF2"/>
    <w:rsid w:val="00C851E7"/>
    <w:rsid w:val="00C8634B"/>
    <w:rsid w:val="00C87D36"/>
    <w:rsid w:val="00C9027A"/>
    <w:rsid w:val="00C9068E"/>
    <w:rsid w:val="00C90A11"/>
    <w:rsid w:val="00C917E0"/>
    <w:rsid w:val="00C93814"/>
    <w:rsid w:val="00C93C4B"/>
    <w:rsid w:val="00C944AB"/>
    <w:rsid w:val="00C95B40"/>
    <w:rsid w:val="00C96602"/>
    <w:rsid w:val="00CA0961"/>
    <w:rsid w:val="00CA1ED8"/>
    <w:rsid w:val="00CA667D"/>
    <w:rsid w:val="00CA7F9A"/>
    <w:rsid w:val="00CB10A8"/>
    <w:rsid w:val="00CB1185"/>
    <w:rsid w:val="00CB1F63"/>
    <w:rsid w:val="00CB2898"/>
    <w:rsid w:val="00CB335E"/>
    <w:rsid w:val="00CB3F38"/>
    <w:rsid w:val="00CB4E84"/>
    <w:rsid w:val="00CB5A0F"/>
    <w:rsid w:val="00CB67DD"/>
    <w:rsid w:val="00CB6BF1"/>
    <w:rsid w:val="00CB7170"/>
    <w:rsid w:val="00CB74A1"/>
    <w:rsid w:val="00CC040E"/>
    <w:rsid w:val="00CC0A99"/>
    <w:rsid w:val="00CC0DD4"/>
    <w:rsid w:val="00CC111F"/>
    <w:rsid w:val="00CC2011"/>
    <w:rsid w:val="00CC25ED"/>
    <w:rsid w:val="00CC32C5"/>
    <w:rsid w:val="00CC3EA0"/>
    <w:rsid w:val="00CC42F9"/>
    <w:rsid w:val="00CC46E2"/>
    <w:rsid w:val="00CC596D"/>
    <w:rsid w:val="00CC5E0E"/>
    <w:rsid w:val="00CC5EE9"/>
    <w:rsid w:val="00CC6022"/>
    <w:rsid w:val="00CC7B45"/>
    <w:rsid w:val="00CD0683"/>
    <w:rsid w:val="00CD1188"/>
    <w:rsid w:val="00CD2E73"/>
    <w:rsid w:val="00CD2ED1"/>
    <w:rsid w:val="00CD31C2"/>
    <w:rsid w:val="00CD337B"/>
    <w:rsid w:val="00CD33B1"/>
    <w:rsid w:val="00CD3F22"/>
    <w:rsid w:val="00CD5588"/>
    <w:rsid w:val="00CD5AF6"/>
    <w:rsid w:val="00CD5ED3"/>
    <w:rsid w:val="00CD612C"/>
    <w:rsid w:val="00CD61E4"/>
    <w:rsid w:val="00CD70A5"/>
    <w:rsid w:val="00CD7F14"/>
    <w:rsid w:val="00CE0424"/>
    <w:rsid w:val="00CE12F9"/>
    <w:rsid w:val="00CE18B3"/>
    <w:rsid w:val="00CE1915"/>
    <w:rsid w:val="00CE3450"/>
    <w:rsid w:val="00CE5972"/>
    <w:rsid w:val="00CE7561"/>
    <w:rsid w:val="00CE7AF7"/>
    <w:rsid w:val="00CF0CAF"/>
    <w:rsid w:val="00CF1354"/>
    <w:rsid w:val="00CF1FB6"/>
    <w:rsid w:val="00CF1FE4"/>
    <w:rsid w:val="00CF2704"/>
    <w:rsid w:val="00CF2D57"/>
    <w:rsid w:val="00CF3B1F"/>
    <w:rsid w:val="00CF3BF6"/>
    <w:rsid w:val="00CF5E06"/>
    <w:rsid w:val="00CF625B"/>
    <w:rsid w:val="00CF687E"/>
    <w:rsid w:val="00CF7755"/>
    <w:rsid w:val="00D00AE4"/>
    <w:rsid w:val="00D00B89"/>
    <w:rsid w:val="00D00F08"/>
    <w:rsid w:val="00D015BE"/>
    <w:rsid w:val="00D02009"/>
    <w:rsid w:val="00D0349B"/>
    <w:rsid w:val="00D05500"/>
    <w:rsid w:val="00D062C1"/>
    <w:rsid w:val="00D0670A"/>
    <w:rsid w:val="00D07AEA"/>
    <w:rsid w:val="00D07CF6"/>
    <w:rsid w:val="00D10249"/>
    <w:rsid w:val="00D107B0"/>
    <w:rsid w:val="00D115C3"/>
    <w:rsid w:val="00D11897"/>
    <w:rsid w:val="00D11D1A"/>
    <w:rsid w:val="00D13135"/>
    <w:rsid w:val="00D13D7D"/>
    <w:rsid w:val="00D13E4E"/>
    <w:rsid w:val="00D13FC9"/>
    <w:rsid w:val="00D14AC2"/>
    <w:rsid w:val="00D15A25"/>
    <w:rsid w:val="00D165B5"/>
    <w:rsid w:val="00D16A20"/>
    <w:rsid w:val="00D206A6"/>
    <w:rsid w:val="00D20B25"/>
    <w:rsid w:val="00D239A7"/>
    <w:rsid w:val="00D23AB6"/>
    <w:rsid w:val="00D23F47"/>
    <w:rsid w:val="00D2507E"/>
    <w:rsid w:val="00D255B7"/>
    <w:rsid w:val="00D25791"/>
    <w:rsid w:val="00D26727"/>
    <w:rsid w:val="00D26AAE"/>
    <w:rsid w:val="00D3131D"/>
    <w:rsid w:val="00D33038"/>
    <w:rsid w:val="00D341F1"/>
    <w:rsid w:val="00D35D87"/>
    <w:rsid w:val="00D36E71"/>
    <w:rsid w:val="00D37D87"/>
    <w:rsid w:val="00D40B33"/>
    <w:rsid w:val="00D4179D"/>
    <w:rsid w:val="00D427F5"/>
    <w:rsid w:val="00D4318F"/>
    <w:rsid w:val="00D4358C"/>
    <w:rsid w:val="00D438BF"/>
    <w:rsid w:val="00D43B41"/>
    <w:rsid w:val="00D440F8"/>
    <w:rsid w:val="00D44839"/>
    <w:rsid w:val="00D45A78"/>
    <w:rsid w:val="00D45D56"/>
    <w:rsid w:val="00D467FC"/>
    <w:rsid w:val="00D47279"/>
    <w:rsid w:val="00D521CC"/>
    <w:rsid w:val="00D52B64"/>
    <w:rsid w:val="00D52E42"/>
    <w:rsid w:val="00D53359"/>
    <w:rsid w:val="00D535C0"/>
    <w:rsid w:val="00D53E3A"/>
    <w:rsid w:val="00D54237"/>
    <w:rsid w:val="00D546FF"/>
    <w:rsid w:val="00D551BE"/>
    <w:rsid w:val="00D55247"/>
    <w:rsid w:val="00D558CB"/>
    <w:rsid w:val="00D55930"/>
    <w:rsid w:val="00D55AD5"/>
    <w:rsid w:val="00D5692A"/>
    <w:rsid w:val="00D576CA"/>
    <w:rsid w:val="00D60819"/>
    <w:rsid w:val="00D61863"/>
    <w:rsid w:val="00D61AF5"/>
    <w:rsid w:val="00D61C3F"/>
    <w:rsid w:val="00D6274E"/>
    <w:rsid w:val="00D62E74"/>
    <w:rsid w:val="00D62EC4"/>
    <w:rsid w:val="00D63AE9"/>
    <w:rsid w:val="00D642B4"/>
    <w:rsid w:val="00D652B5"/>
    <w:rsid w:val="00D658AB"/>
    <w:rsid w:val="00D66155"/>
    <w:rsid w:val="00D663A1"/>
    <w:rsid w:val="00D67630"/>
    <w:rsid w:val="00D7040F"/>
    <w:rsid w:val="00D70420"/>
    <w:rsid w:val="00D708B0"/>
    <w:rsid w:val="00D71DE0"/>
    <w:rsid w:val="00D71E99"/>
    <w:rsid w:val="00D7213D"/>
    <w:rsid w:val="00D728C5"/>
    <w:rsid w:val="00D72A5C"/>
    <w:rsid w:val="00D72AC3"/>
    <w:rsid w:val="00D7422B"/>
    <w:rsid w:val="00D75441"/>
    <w:rsid w:val="00D75975"/>
    <w:rsid w:val="00D76FE7"/>
    <w:rsid w:val="00D77535"/>
    <w:rsid w:val="00D77B1D"/>
    <w:rsid w:val="00D8021F"/>
    <w:rsid w:val="00D80383"/>
    <w:rsid w:val="00D8120E"/>
    <w:rsid w:val="00D823C6"/>
    <w:rsid w:val="00D8244C"/>
    <w:rsid w:val="00D82E1B"/>
    <w:rsid w:val="00D8327F"/>
    <w:rsid w:val="00D84021"/>
    <w:rsid w:val="00D845EF"/>
    <w:rsid w:val="00D853B4"/>
    <w:rsid w:val="00D86CA3"/>
    <w:rsid w:val="00D871CE"/>
    <w:rsid w:val="00D878CB"/>
    <w:rsid w:val="00D87AEC"/>
    <w:rsid w:val="00D9196D"/>
    <w:rsid w:val="00D9263B"/>
    <w:rsid w:val="00D92982"/>
    <w:rsid w:val="00D92D8C"/>
    <w:rsid w:val="00D92EF1"/>
    <w:rsid w:val="00D93952"/>
    <w:rsid w:val="00D94057"/>
    <w:rsid w:val="00D941A1"/>
    <w:rsid w:val="00D942DE"/>
    <w:rsid w:val="00D947DD"/>
    <w:rsid w:val="00D9645A"/>
    <w:rsid w:val="00D9703A"/>
    <w:rsid w:val="00D97412"/>
    <w:rsid w:val="00D976E6"/>
    <w:rsid w:val="00DA1184"/>
    <w:rsid w:val="00DA1BD5"/>
    <w:rsid w:val="00DA20A2"/>
    <w:rsid w:val="00DA305E"/>
    <w:rsid w:val="00DA3307"/>
    <w:rsid w:val="00DA34FB"/>
    <w:rsid w:val="00DA3933"/>
    <w:rsid w:val="00DA3C52"/>
    <w:rsid w:val="00DA3ED9"/>
    <w:rsid w:val="00DA4A31"/>
    <w:rsid w:val="00DA5417"/>
    <w:rsid w:val="00DA56E8"/>
    <w:rsid w:val="00DA619E"/>
    <w:rsid w:val="00DA78C5"/>
    <w:rsid w:val="00DA7A07"/>
    <w:rsid w:val="00DA7AC8"/>
    <w:rsid w:val="00DB0499"/>
    <w:rsid w:val="00DB0A9F"/>
    <w:rsid w:val="00DB30B3"/>
    <w:rsid w:val="00DB323B"/>
    <w:rsid w:val="00DB377D"/>
    <w:rsid w:val="00DB3E5F"/>
    <w:rsid w:val="00DB42E1"/>
    <w:rsid w:val="00DB479F"/>
    <w:rsid w:val="00DB47BF"/>
    <w:rsid w:val="00DB5237"/>
    <w:rsid w:val="00DB5994"/>
    <w:rsid w:val="00DB5ABC"/>
    <w:rsid w:val="00DB7935"/>
    <w:rsid w:val="00DC1430"/>
    <w:rsid w:val="00DC23EC"/>
    <w:rsid w:val="00DC2438"/>
    <w:rsid w:val="00DC2D36"/>
    <w:rsid w:val="00DC313D"/>
    <w:rsid w:val="00DC3C56"/>
    <w:rsid w:val="00DC4ED8"/>
    <w:rsid w:val="00DC53EF"/>
    <w:rsid w:val="00DC55CF"/>
    <w:rsid w:val="00DC70CB"/>
    <w:rsid w:val="00DD032A"/>
    <w:rsid w:val="00DD2DBF"/>
    <w:rsid w:val="00DD4166"/>
    <w:rsid w:val="00DD4E55"/>
    <w:rsid w:val="00DD559E"/>
    <w:rsid w:val="00DD5F15"/>
    <w:rsid w:val="00DD6ACE"/>
    <w:rsid w:val="00DE0C57"/>
    <w:rsid w:val="00DE1699"/>
    <w:rsid w:val="00DE2759"/>
    <w:rsid w:val="00DE53AB"/>
    <w:rsid w:val="00DE5608"/>
    <w:rsid w:val="00DE58D0"/>
    <w:rsid w:val="00DE654F"/>
    <w:rsid w:val="00DE7BFC"/>
    <w:rsid w:val="00DF05C2"/>
    <w:rsid w:val="00DF0B6E"/>
    <w:rsid w:val="00DF10EC"/>
    <w:rsid w:val="00DF15E0"/>
    <w:rsid w:val="00DF26AE"/>
    <w:rsid w:val="00DF37A0"/>
    <w:rsid w:val="00DF4086"/>
    <w:rsid w:val="00DF5B74"/>
    <w:rsid w:val="00DF62B7"/>
    <w:rsid w:val="00DF7A73"/>
    <w:rsid w:val="00E00041"/>
    <w:rsid w:val="00E00050"/>
    <w:rsid w:val="00E00CFE"/>
    <w:rsid w:val="00E02027"/>
    <w:rsid w:val="00E03DF3"/>
    <w:rsid w:val="00E03FEC"/>
    <w:rsid w:val="00E044BF"/>
    <w:rsid w:val="00E04A9C"/>
    <w:rsid w:val="00E04CFD"/>
    <w:rsid w:val="00E04FA5"/>
    <w:rsid w:val="00E05038"/>
    <w:rsid w:val="00E05D50"/>
    <w:rsid w:val="00E0613B"/>
    <w:rsid w:val="00E06D52"/>
    <w:rsid w:val="00E110E7"/>
    <w:rsid w:val="00E11B20"/>
    <w:rsid w:val="00E15B42"/>
    <w:rsid w:val="00E15B46"/>
    <w:rsid w:val="00E169E7"/>
    <w:rsid w:val="00E17FA2"/>
    <w:rsid w:val="00E2046E"/>
    <w:rsid w:val="00E20BD6"/>
    <w:rsid w:val="00E20BD8"/>
    <w:rsid w:val="00E2198A"/>
    <w:rsid w:val="00E22330"/>
    <w:rsid w:val="00E24FC9"/>
    <w:rsid w:val="00E26515"/>
    <w:rsid w:val="00E27FF2"/>
    <w:rsid w:val="00E3003D"/>
    <w:rsid w:val="00E30B5A"/>
    <w:rsid w:val="00E3123D"/>
    <w:rsid w:val="00E31461"/>
    <w:rsid w:val="00E31D43"/>
    <w:rsid w:val="00E3218A"/>
    <w:rsid w:val="00E325A4"/>
    <w:rsid w:val="00E32608"/>
    <w:rsid w:val="00E33774"/>
    <w:rsid w:val="00E33812"/>
    <w:rsid w:val="00E33986"/>
    <w:rsid w:val="00E34037"/>
    <w:rsid w:val="00E34188"/>
    <w:rsid w:val="00E34B6E"/>
    <w:rsid w:val="00E35559"/>
    <w:rsid w:val="00E355D9"/>
    <w:rsid w:val="00E36AC1"/>
    <w:rsid w:val="00E36C7C"/>
    <w:rsid w:val="00E3723A"/>
    <w:rsid w:val="00E37860"/>
    <w:rsid w:val="00E40098"/>
    <w:rsid w:val="00E400E9"/>
    <w:rsid w:val="00E40BC2"/>
    <w:rsid w:val="00E41611"/>
    <w:rsid w:val="00E41CF4"/>
    <w:rsid w:val="00E433C8"/>
    <w:rsid w:val="00E43B0A"/>
    <w:rsid w:val="00E43E29"/>
    <w:rsid w:val="00E43E5B"/>
    <w:rsid w:val="00E446F1"/>
    <w:rsid w:val="00E44BEF"/>
    <w:rsid w:val="00E45DAF"/>
    <w:rsid w:val="00E45DBA"/>
    <w:rsid w:val="00E46886"/>
    <w:rsid w:val="00E46D34"/>
    <w:rsid w:val="00E46F8A"/>
    <w:rsid w:val="00E47AEF"/>
    <w:rsid w:val="00E47CC6"/>
    <w:rsid w:val="00E50006"/>
    <w:rsid w:val="00E5118F"/>
    <w:rsid w:val="00E5125A"/>
    <w:rsid w:val="00E51937"/>
    <w:rsid w:val="00E51AB1"/>
    <w:rsid w:val="00E51AB3"/>
    <w:rsid w:val="00E52D48"/>
    <w:rsid w:val="00E53B75"/>
    <w:rsid w:val="00E54E3B"/>
    <w:rsid w:val="00E56286"/>
    <w:rsid w:val="00E56BD2"/>
    <w:rsid w:val="00E57123"/>
    <w:rsid w:val="00E57565"/>
    <w:rsid w:val="00E57AD3"/>
    <w:rsid w:val="00E57D7E"/>
    <w:rsid w:val="00E60AC3"/>
    <w:rsid w:val="00E61636"/>
    <w:rsid w:val="00E6168F"/>
    <w:rsid w:val="00E6370B"/>
    <w:rsid w:val="00E63838"/>
    <w:rsid w:val="00E64434"/>
    <w:rsid w:val="00E64F16"/>
    <w:rsid w:val="00E65070"/>
    <w:rsid w:val="00E653E9"/>
    <w:rsid w:val="00E6744E"/>
    <w:rsid w:val="00E67C51"/>
    <w:rsid w:val="00E70C70"/>
    <w:rsid w:val="00E71956"/>
    <w:rsid w:val="00E72141"/>
    <w:rsid w:val="00E729B9"/>
    <w:rsid w:val="00E729E6"/>
    <w:rsid w:val="00E72EFC"/>
    <w:rsid w:val="00E73637"/>
    <w:rsid w:val="00E7479E"/>
    <w:rsid w:val="00E74CE7"/>
    <w:rsid w:val="00E758EC"/>
    <w:rsid w:val="00E773C0"/>
    <w:rsid w:val="00E777AD"/>
    <w:rsid w:val="00E81777"/>
    <w:rsid w:val="00E81DC6"/>
    <w:rsid w:val="00E8234C"/>
    <w:rsid w:val="00E83584"/>
    <w:rsid w:val="00E83AA9"/>
    <w:rsid w:val="00E8554B"/>
    <w:rsid w:val="00E85928"/>
    <w:rsid w:val="00E86B94"/>
    <w:rsid w:val="00E87822"/>
    <w:rsid w:val="00E87C8C"/>
    <w:rsid w:val="00E90395"/>
    <w:rsid w:val="00E908AD"/>
    <w:rsid w:val="00E90E49"/>
    <w:rsid w:val="00E912CC"/>
    <w:rsid w:val="00E917F9"/>
    <w:rsid w:val="00E91F8D"/>
    <w:rsid w:val="00E92530"/>
    <w:rsid w:val="00E9291C"/>
    <w:rsid w:val="00E92F79"/>
    <w:rsid w:val="00E93803"/>
    <w:rsid w:val="00E93FFE"/>
    <w:rsid w:val="00E94F8A"/>
    <w:rsid w:val="00E956CC"/>
    <w:rsid w:val="00E95D68"/>
    <w:rsid w:val="00E97780"/>
    <w:rsid w:val="00EA0FD3"/>
    <w:rsid w:val="00EA17A7"/>
    <w:rsid w:val="00EA3BF5"/>
    <w:rsid w:val="00EA403F"/>
    <w:rsid w:val="00EA5D85"/>
    <w:rsid w:val="00EA7A41"/>
    <w:rsid w:val="00EA7BA8"/>
    <w:rsid w:val="00EB077B"/>
    <w:rsid w:val="00EB18F1"/>
    <w:rsid w:val="00EB1C11"/>
    <w:rsid w:val="00EB1CA6"/>
    <w:rsid w:val="00EB4EA2"/>
    <w:rsid w:val="00EB5426"/>
    <w:rsid w:val="00EB7882"/>
    <w:rsid w:val="00EC00AF"/>
    <w:rsid w:val="00EC0126"/>
    <w:rsid w:val="00EC1C28"/>
    <w:rsid w:val="00EC21FC"/>
    <w:rsid w:val="00EC24D5"/>
    <w:rsid w:val="00EC27C6"/>
    <w:rsid w:val="00EC2A42"/>
    <w:rsid w:val="00EC2D8A"/>
    <w:rsid w:val="00EC30FC"/>
    <w:rsid w:val="00EC39AF"/>
    <w:rsid w:val="00EC3BB6"/>
    <w:rsid w:val="00EC4207"/>
    <w:rsid w:val="00EC5335"/>
    <w:rsid w:val="00EC5653"/>
    <w:rsid w:val="00EC577D"/>
    <w:rsid w:val="00EC6E85"/>
    <w:rsid w:val="00EC71CE"/>
    <w:rsid w:val="00EC71E7"/>
    <w:rsid w:val="00ED1006"/>
    <w:rsid w:val="00ED5117"/>
    <w:rsid w:val="00ED60B3"/>
    <w:rsid w:val="00ED76A6"/>
    <w:rsid w:val="00EE136C"/>
    <w:rsid w:val="00EE139E"/>
    <w:rsid w:val="00EE1F06"/>
    <w:rsid w:val="00EE3705"/>
    <w:rsid w:val="00EE3C27"/>
    <w:rsid w:val="00EE4180"/>
    <w:rsid w:val="00EE44B0"/>
    <w:rsid w:val="00EE4605"/>
    <w:rsid w:val="00EE4D5A"/>
    <w:rsid w:val="00EE6399"/>
    <w:rsid w:val="00EE68B0"/>
    <w:rsid w:val="00EE7E04"/>
    <w:rsid w:val="00EF08D4"/>
    <w:rsid w:val="00EF09AA"/>
    <w:rsid w:val="00EF1213"/>
    <w:rsid w:val="00EF18FE"/>
    <w:rsid w:val="00EF20EC"/>
    <w:rsid w:val="00EF2753"/>
    <w:rsid w:val="00EF3000"/>
    <w:rsid w:val="00EF3B05"/>
    <w:rsid w:val="00EF441A"/>
    <w:rsid w:val="00EF56B4"/>
    <w:rsid w:val="00EF5787"/>
    <w:rsid w:val="00EF60D0"/>
    <w:rsid w:val="00EF6ED1"/>
    <w:rsid w:val="00EF7289"/>
    <w:rsid w:val="00F00870"/>
    <w:rsid w:val="00F01DF6"/>
    <w:rsid w:val="00F01E1A"/>
    <w:rsid w:val="00F0299B"/>
    <w:rsid w:val="00F02EB9"/>
    <w:rsid w:val="00F030BC"/>
    <w:rsid w:val="00F0379B"/>
    <w:rsid w:val="00F0436F"/>
    <w:rsid w:val="00F0528D"/>
    <w:rsid w:val="00F064D8"/>
    <w:rsid w:val="00F06C67"/>
    <w:rsid w:val="00F06DFD"/>
    <w:rsid w:val="00F071D1"/>
    <w:rsid w:val="00F072B6"/>
    <w:rsid w:val="00F07533"/>
    <w:rsid w:val="00F07A0E"/>
    <w:rsid w:val="00F10629"/>
    <w:rsid w:val="00F114CF"/>
    <w:rsid w:val="00F12E23"/>
    <w:rsid w:val="00F14227"/>
    <w:rsid w:val="00F14C5D"/>
    <w:rsid w:val="00F15E98"/>
    <w:rsid w:val="00F15FA5"/>
    <w:rsid w:val="00F17C0E"/>
    <w:rsid w:val="00F209B7"/>
    <w:rsid w:val="00F212C2"/>
    <w:rsid w:val="00F2182B"/>
    <w:rsid w:val="00F21DEA"/>
    <w:rsid w:val="00F2279C"/>
    <w:rsid w:val="00F22FDE"/>
    <w:rsid w:val="00F2376F"/>
    <w:rsid w:val="00F243D8"/>
    <w:rsid w:val="00F25915"/>
    <w:rsid w:val="00F2722C"/>
    <w:rsid w:val="00F27781"/>
    <w:rsid w:val="00F30154"/>
    <w:rsid w:val="00F307E6"/>
    <w:rsid w:val="00F30828"/>
    <w:rsid w:val="00F30ED8"/>
    <w:rsid w:val="00F3132D"/>
    <w:rsid w:val="00F313D6"/>
    <w:rsid w:val="00F3323A"/>
    <w:rsid w:val="00F3602D"/>
    <w:rsid w:val="00F36195"/>
    <w:rsid w:val="00F362EF"/>
    <w:rsid w:val="00F36621"/>
    <w:rsid w:val="00F36783"/>
    <w:rsid w:val="00F40429"/>
    <w:rsid w:val="00F40F0C"/>
    <w:rsid w:val="00F410BE"/>
    <w:rsid w:val="00F42977"/>
    <w:rsid w:val="00F43FE6"/>
    <w:rsid w:val="00F443ED"/>
    <w:rsid w:val="00F47173"/>
    <w:rsid w:val="00F4766C"/>
    <w:rsid w:val="00F5060E"/>
    <w:rsid w:val="00F507D1"/>
    <w:rsid w:val="00F51081"/>
    <w:rsid w:val="00F514F2"/>
    <w:rsid w:val="00F519CE"/>
    <w:rsid w:val="00F51ADA"/>
    <w:rsid w:val="00F51DA0"/>
    <w:rsid w:val="00F52FF3"/>
    <w:rsid w:val="00F537C1"/>
    <w:rsid w:val="00F539D7"/>
    <w:rsid w:val="00F53E98"/>
    <w:rsid w:val="00F541D7"/>
    <w:rsid w:val="00F54723"/>
    <w:rsid w:val="00F54920"/>
    <w:rsid w:val="00F5516B"/>
    <w:rsid w:val="00F5707C"/>
    <w:rsid w:val="00F57357"/>
    <w:rsid w:val="00F60203"/>
    <w:rsid w:val="00F607C5"/>
    <w:rsid w:val="00F60DEA"/>
    <w:rsid w:val="00F61CCF"/>
    <w:rsid w:val="00F62DC2"/>
    <w:rsid w:val="00F6302A"/>
    <w:rsid w:val="00F6392F"/>
    <w:rsid w:val="00F63950"/>
    <w:rsid w:val="00F64C2B"/>
    <w:rsid w:val="00F64C3A"/>
    <w:rsid w:val="00F64EB2"/>
    <w:rsid w:val="00F651BE"/>
    <w:rsid w:val="00F66109"/>
    <w:rsid w:val="00F664FD"/>
    <w:rsid w:val="00F6669A"/>
    <w:rsid w:val="00F66BFD"/>
    <w:rsid w:val="00F6715A"/>
    <w:rsid w:val="00F67B88"/>
    <w:rsid w:val="00F67F53"/>
    <w:rsid w:val="00F70030"/>
    <w:rsid w:val="00F703BE"/>
    <w:rsid w:val="00F71D32"/>
    <w:rsid w:val="00F71F69"/>
    <w:rsid w:val="00F72109"/>
    <w:rsid w:val="00F72B72"/>
    <w:rsid w:val="00F72C2C"/>
    <w:rsid w:val="00F73755"/>
    <w:rsid w:val="00F73822"/>
    <w:rsid w:val="00F74BB9"/>
    <w:rsid w:val="00F75582"/>
    <w:rsid w:val="00F75783"/>
    <w:rsid w:val="00F76EFA"/>
    <w:rsid w:val="00F76F4E"/>
    <w:rsid w:val="00F77A29"/>
    <w:rsid w:val="00F804BE"/>
    <w:rsid w:val="00F807CD"/>
    <w:rsid w:val="00F80F7B"/>
    <w:rsid w:val="00F817CE"/>
    <w:rsid w:val="00F81FB9"/>
    <w:rsid w:val="00F824C1"/>
    <w:rsid w:val="00F829C8"/>
    <w:rsid w:val="00F8456C"/>
    <w:rsid w:val="00F84DB8"/>
    <w:rsid w:val="00F859D8"/>
    <w:rsid w:val="00F86628"/>
    <w:rsid w:val="00F868F5"/>
    <w:rsid w:val="00F86930"/>
    <w:rsid w:val="00F869CC"/>
    <w:rsid w:val="00F86E28"/>
    <w:rsid w:val="00F9056A"/>
    <w:rsid w:val="00F90920"/>
    <w:rsid w:val="00F90F8D"/>
    <w:rsid w:val="00F91096"/>
    <w:rsid w:val="00F917CD"/>
    <w:rsid w:val="00F9189A"/>
    <w:rsid w:val="00F918B1"/>
    <w:rsid w:val="00F91CC7"/>
    <w:rsid w:val="00F92352"/>
    <w:rsid w:val="00F92782"/>
    <w:rsid w:val="00F93AA9"/>
    <w:rsid w:val="00F94733"/>
    <w:rsid w:val="00F94F63"/>
    <w:rsid w:val="00F95DF1"/>
    <w:rsid w:val="00F962AE"/>
    <w:rsid w:val="00F96985"/>
    <w:rsid w:val="00F96A36"/>
    <w:rsid w:val="00F97838"/>
    <w:rsid w:val="00FA0F03"/>
    <w:rsid w:val="00FA25A2"/>
    <w:rsid w:val="00FA2BB3"/>
    <w:rsid w:val="00FA33E2"/>
    <w:rsid w:val="00FA4212"/>
    <w:rsid w:val="00FA5341"/>
    <w:rsid w:val="00FA5E8E"/>
    <w:rsid w:val="00FA703C"/>
    <w:rsid w:val="00FB14BD"/>
    <w:rsid w:val="00FB1F16"/>
    <w:rsid w:val="00FB359E"/>
    <w:rsid w:val="00FB3683"/>
    <w:rsid w:val="00FB4C80"/>
    <w:rsid w:val="00FB520C"/>
    <w:rsid w:val="00FB6A6A"/>
    <w:rsid w:val="00FB71FF"/>
    <w:rsid w:val="00FB7AFF"/>
    <w:rsid w:val="00FB7E0C"/>
    <w:rsid w:val="00FC10C5"/>
    <w:rsid w:val="00FC21F6"/>
    <w:rsid w:val="00FC21FF"/>
    <w:rsid w:val="00FC3569"/>
    <w:rsid w:val="00FC464C"/>
    <w:rsid w:val="00FC60F0"/>
    <w:rsid w:val="00FC6F4E"/>
    <w:rsid w:val="00FC7137"/>
    <w:rsid w:val="00FC7429"/>
    <w:rsid w:val="00FC783C"/>
    <w:rsid w:val="00FD07F6"/>
    <w:rsid w:val="00FD09F0"/>
    <w:rsid w:val="00FD149D"/>
    <w:rsid w:val="00FD1EC8"/>
    <w:rsid w:val="00FD31E8"/>
    <w:rsid w:val="00FD47ED"/>
    <w:rsid w:val="00FD6394"/>
    <w:rsid w:val="00FD6615"/>
    <w:rsid w:val="00FD6C57"/>
    <w:rsid w:val="00FD74DB"/>
    <w:rsid w:val="00FD762D"/>
    <w:rsid w:val="00FD7660"/>
    <w:rsid w:val="00FD7C50"/>
    <w:rsid w:val="00FE0655"/>
    <w:rsid w:val="00FE07E0"/>
    <w:rsid w:val="00FE2365"/>
    <w:rsid w:val="00FE2D2D"/>
    <w:rsid w:val="00FE37D7"/>
    <w:rsid w:val="00FE471A"/>
    <w:rsid w:val="00FE4C7B"/>
    <w:rsid w:val="00FE4F71"/>
    <w:rsid w:val="00FE4F95"/>
    <w:rsid w:val="00FE5048"/>
    <w:rsid w:val="00FE6DFF"/>
    <w:rsid w:val="00FE6E98"/>
    <w:rsid w:val="00FE7336"/>
    <w:rsid w:val="00FE787C"/>
    <w:rsid w:val="00FE7EC5"/>
    <w:rsid w:val="00FF024D"/>
    <w:rsid w:val="00FF02D8"/>
    <w:rsid w:val="00FF1C56"/>
    <w:rsid w:val="00FF4522"/>
    <w:rsid w:val="00FF45A5"/>
    <w:rsid w:val="00FF4A21"/>
    <w:rsid w:val="00FF5C91"/>
    <w:rsid w:val="00FF5CE2"/>
    <w:rsid w:val="00FF5E9A"/>
    <w:rsid w:val="00FF7183"/>
    <w:rsid w:val="00FF7929"/>
    <w:rsid w:val="00FF7E57"/>
    <w:rsid w:val="10377F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37A22F4-26EF-4114-B8EB-A1DEB3947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D60819"/>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E33986"/>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9E4806"/>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2B4467"/>
    <w:rPr>
      <w:color w:val="808080"/>
    </w:rPr>
  </w:style>
  <w:style w:type="paragraph" w:styleId="NormalWeb">
    <w:name w:val="Normal (Web)"/>
    <w:basedOn w:val="Normal"/>
    <w:uiPriority w:val="99"/>
    <w:unhideWhenUsed/>
    <w:rsid w:val="00382DB3"/>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606120"/>
    <w:rPr>
      <w:color w:val="2B579A"/>
      <w:shd w:val="clear" w:color="auto" w:fill="E1DFDD"/>
    </w:rPr>
  </w:style>
  <w:style w:type="character" w:customStyle="1" w:styleId="cf01">
    <w:name w:val="cf01"/>
    <w:basedOn w:val="DefaultParagraphFont"/>
    <w:rsid w:val="00E26515"/>
    <w:rPr>
      <w:rFonts w:ascii="Segoe UI" w:hAnsi="Segoe UI" w:cs="Segoe UI" w:hint="default"/>
      <w:sz w:val="18"/>
      <w:szCs w:val="18"/>
    </w:rPr>
  </w:style>
  <w:style w:type="character" w:customStyle="1" w:styleId="ProposalChar">
    <w:name w:val="Proposal Char"/>
    <w:link w:val="Proposal"/>
    <w:qFormat/>
    <w:locked/>
    <w:rsid w:val="00D55247"/>
    <w:rPr>
      <w:rFonts w:ascii="Arial" w:eastAsiaTheme="minorHAnsi" w:hAnsi="Arial" w:cstheme="minorBidi"/>
      <w:b/>
      <w:bCs/>
      <w:szCs w:val="22"/>
      <w:lang w:val="en-US" w:eastAsia="zh-CN"/>
    </w:rPr>
  </w:style>
  <w:style w:type="paragraph" w:styleId="NoSpacing">
    <w:name w:val="No Spacing"/>
    <w:uiPriority w:val="1"/>
    <w:qFormat/>
    <w:rsid w:val="00BF5ED9"/>
    <w:rPr>
      <w:rFonts w:ascii="Arial" w:eastAsiaTheme="minorHAnsi" w:hAnsi="Arial" w:cstheme="minorBidi"/>
      <w:szCs w:val="22"/>
      <w:lang w:val="en-US"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5D7D6A"/>
  </w:style>
  <w:style w:type="numbering" w:customStyle="1" w:styleId="StyleBulletedSymbolsymbolLeft025Hanging0">
    <w:name w:val="Style Bulleted Symbol (symbol) Left:  0.25&quot; Hanging:  0."/>
    <w:basedOn w:val="NoList"/>
    <w:rsid w:val="00CC25ED"/>
    <w:pPr>
      <w:numPr>
        <w:numId w:val="18"/>
      </w:numPr>
    </w:pPr>
  </w:style>
  <w:style w:type="character" w:customStyle="1" w:styleId="0MaintextChar">
    <w:name w:val="0 Main text Char"/>
    <w:link w:val="0Maintext"/>
    <w:qFormat/>
    <w:locked/>
    <w:rsid w:val="008413D0"/>
    <w:rPr>
      <w:rFonts w:ascii="Times New Roman" w:hAnsi="Times New Roman"/>
      <w:lang w:eastAsia="en-US"/>
    </w:rPr>
  </w:style>
  <w:style w:type="paragraph" w:customStyle="1" w:styleId="0Maintext">
    <w:name w:val="0 Main text"/>
    <w:basedOn w:val="Normal"/>
    <w:link w:val="0MaintextChar"/>
    <w:qFormat/>
    <w:rsid w:val="008413D0"/>
    <w:pPr>
      <w:spacing w:after="0" w:line="240" w:lineRule="auto"/>
      <w:jc w:val="both"/>
    </w:pPr>
    <w:rPr>
      <w:rFonts w:ascii="Times New Roman" w:eastAsia="SimSu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51830">
      <w:bodyDiv w:val="1"/>
      <w:marLeft w:val="0"/>
      <w:marRight w:val="0"/>
      <w:marTop w:val="0"/>
      <w:marBottom w:val="0"/>
      <w:divBdr>
        <w:top w:val="none" w:sz="0" w:space="0" w:color="auto"/>
        <w:left w:val="none" w:sz="0" w:space="0" w:color="auto"/>
        <w:bottom w:val="none" w:sz="0" w:space="0" w:color="auto"/>
        <w:right w:val="none" w:sz="0" w:space="0" w:color="auto"/>
      </w:divBdr>
    </w:div>
    <w:div w:id="245849527">
      <w:bodyDiv w:val="1"/>
      <w:marLeft w:val="0"/>
      <w:marRight w:val="0"/>
      <w:marTop w:val="0"/>
      <w:marBottom w:val="0"/>
      <w:divBdr>
        <w:top w:val="none" w:sz="0" w:space="0" w:color="auto"/>
        <w:left w:val="none" w:sz="0" w:space="0" w:color="auto"/>
        <w:bottom w:val="none" w:sz="0" w:space="0" w:color="auto"/>
        <w:right w:val="none" w:sz="0" w:space="0" w:color="auto"/>
      </w:divBdr>
    </w:div>
    <w:div w:id="294261677">
      <w:bodyDiv w:val="1"/>
      <w:marLeft w:val="0"/>
      <w:marRight w:val="0"/>
      <w:marTop w:val="0"/>
      <w:marBottom w:val="0"/>
      <w:divBdr>
        <w:top w:val="none" w:sz="0" w:space="0" w:color="auto"/>
        <w:left w:val="none" w:sz="0" w:space="0" w:color="auto"/>
        <w:bottom w:val="none" w:sz="0" w:space="0" w:color="auto"/>
        <w:right w:val="none" w:sz="0" w:space="0" w:color="auto"/>
      </w:divBdr>
    </w:div>
    <w:div w:id="374308184">
      <w:bodyDiv w:val="1"/>
      <w:marLeft w:val="0"/>
      <w:marRight w:val="0"/>
      <w:marTop w:val="0"/>
      <w:marBottom w:val="0"/>
      <w:divBdr>
        <w:top w:val="none" w:sz="0" w:space="0" w:color="auto"/>
        <w:left w:val="none" w:sz="0" w:space="0" w:color="auto"/>
        <w:bottom w:val="none" w:sz="0" w:space="0" w:color="auto"/>
        <w:right w:val="none" w:sz="0" w:space="0" w:color="auto"/>
      </w:divBdr>
    </w:div>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492260244">
      <w:bodyDiv w:val="1"/>
      <w:marLeft w:val="0"/>
      <w:marRight w:val="0"/>
      <w:marTop w:val="0"/>
      <w:marBottom w:val="0"/>
      <w:divBdr>
        <w:top w:val="none" w:sz="0" w:space="0" w:color="auto"/>
        <w:left w:val="none" w:sz="0" w:space="0" w:color="auto"/>
        <w:bottom w:val="none" w:sz="0" w:space="0" w:color="auto"/>
        <w:right w:val="none" w:sz="0" w:space="0" w:color="auto"/>
      </w:divBdr>
    </w:div>
    <w:div w:id="775632709">
      <w:bodyDiv w:val="1"/>
      <w:marLeft w:val="0"/>
      <w:marRight w:val="0"/>
      <w:marTop w:val="0"/>
      <w:marBottom w:val="0"/>
      <w:divBdr>
        <w:top w:val="none" w:sz="0" w:space="0" w:color="auto"/>
        <w:left w:val="none" w:sz="0" w:space="0" w:color="auto"/>
        <w:bottom w:val="none" w:sz="0" w:space="0" w:color="auto"/>
        <w:right w:val="none" w:sz="0" w:space="0" w:color="auto"/>
      </w:divBdr>
    </w:div>
    <w:div w:id="880361674">
      <w:bodyDiv w:val="1"/>
      <w:marLeft w:val="0"/>
      <w:marRight w:val="0"/>
      <w:marTop w:val="0"/>
      <w:marBottom w:val="0"/>
      <w:divBdr>
        <w:top w:val="none" w:sz="0" w:space="0" w:color="auto"/>
        <w:left w:val="none" w:sz="0" w:space="0" w:color="auto"/>
        <w:bottom w:val="none" w:sz="0" w:space="0" w:color="auto"/>
        <w:right w:val="none" w:sz="0" w:space="0" w:color="auto"/>
      </w:divBdr>
    </w:div>
    <w:div w:id="904604874">
      <w:bodyDiv w:val="1"/>
      <w:marLeft w:val="0"/>
      <w:marRight w:val="0"/>
      <w:marTop w:val="0"/>
      <w:marBottom w:val="0"/>
      <w:divBdr>
        <w:top w:val="none" w:sz="0" w:space="0" w:color="auto"/>
        <w:left w:val="none" w:sz="0" w:space="0" w:color="auto"/>
        <w:bottom w:val="none" w:sz="0" w:space="0" w:color="auto"/>
        <w:right w:val="none" w:sz="0" w:space="0" w:color="auto"/>
      </w:divBdr>
    </w:div>
    <w:div w:id="926379075">
      <w:bodyDiv w:val="1"/>
      <w:marLeft w:val="0"/>
      <w:marRight w:val="0"/>
      <w:marTop w:val="0"/>
      <w:marBottom w:val="0"/>
      <w:divBdr>
        <w:top w:val="none" w:sz="0" w:space="0" w:color="auto"/>
        <w:left w:val="none" w:sz="0" w:space="0" w:color="auto"/>
        <w:bottom w:val="none" w:sz="0" w:space="0" w:color="auto"/>
        <w:right w:val="none" w:sz="0" w:space="0" w:color="auto"/>
      </w:divBdr>
    </w:div>
    <w:div w:id="969288512">
      <w:bodyDiv w:val="1"/>
      <w:marLeft w:val="0"/>
      <w:marRight w:val="0"/>
      <w:marTop w:val="0"/>
      <w:marBottom w:val="0"/>
      <w:divBdr>
        <w:top w:val="none" w:sz="0" w:space="0" w:color="auto"/>
        <w:left w:val="none" w:sz="0" w:space="0" w:color="auto"/>
        <w:bottom w:val="none" w:sz="0" w:space="0" w:color="auto"/>
        <w:right w:val="none" w:sz="0" w:space="0" w:color="auto"/>
      </w:divBdr>
    </w:div>
    <w:div w:id="985620256">
      <w:bodyDiv w:val="1"/>
      <w:marLeft w:val="0"/>
      <w:marRight w:val="0"/>
      <w:marTop w:val="0"/>
      <w:marBottom w:val="0"/>
      <w:divBdr>
        <w:top w:val="none" w:sz="0" w:space="0" w:color="auto"/>
        <w:left w:val="none" w:sz="0" w:space="0" w:color="auto"/>
        <w:bottom w:val="none" w:sz="0" w:space="0" w:color="auto"/>
        <w:right w:val="none" w:sz="0" w:space="0" w:color="auto"/>
      </w:divBdr>
    </w:div>
    <w:div w:id="1037001422">
      <w:bodyDiv w:val="1"/>
      <w:marLeft w:val="0"/>
      <w:marRight w:val="0"/>
      <w:marTop w:val="0"/>
      <w:marBottom w:val="0"/>
      <w:divBdr>
        <w:top w:val="none" w:sz="0" w:space="0" w:color="auto"/>
        <w:left w:val="none" w:sz="0" w:space="0" w:color="auto"/>
        <w:bottom w:val="none" w:sz="0" w:space="0" w:color="auto"/>
        <w:right w:val="none" w:sz="0" w:space="0" w:color="auto"/>
      </w:divBdr>
    </w:div>
    <w:div w:id="1126116867">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383866791">
      <w:bodyDiv w:val="1"/>
      <w:marLeft w:val="0"/>
      <w:marRight w:val="0"/>
      <w:marTop w:val="0"/>
      <w:marBottom w:val="0"/>
      <w:divBdr>
        <w:top w:val="none" w:sz="0" w:space="0" w:color="auto"/>
        <w:left w:val="none" w:sz="0" w:space="0" w:color="auto"/>
        <w:bottom w:val="none" w:sz="0" w:space="0" w:color="auto"/>
        <w:right w:val="none" w:sz="0" w:space="0" w:color="auto"/>
      </w:divBdr>
    </w:div>
    <w:div w:id="1397164585">
      <w:bodyDiv w:val="1"/>
      <w:marLeft w:val="0"/>
      <w:marRight w:val="0"/>
      <w:marTop w:val="0"/>
      <w:marBottom w:val="0"/>
      <w:divBdr>
        <w:top w:val="none" w:sz="0" w:space="0" w:color="auto"/>
        <w:left w:val="none" w:sz="0" w:space="0" w:color="auto"/>
        <w:bottom w:val="none" w:sz="0" w:space="0" w:color="auto"/>
        <w:right w:val="none" w:sz="0" w:space="0" w:color="auto"/>
      </w:divBdr>
    </w:div>
    <w:div w:id="1519810562">
      <w:bodyDiv w:val="1"/>
      <w:marLeft w:val="0"/>
      <w:marRight w:val="0"/>
      <w:marTop w:val="0"/>
      <w:marBottom w:val="0"/>
      <w:divBdr>
        <w:top w:val="none" w:sz="0" w:space="0" w:color="auto"/>
        <w:left w:val="none" w:sz="0" w:space="0" w:color="auto"/>
        <w:bottom w:val="none" w:sz="0" w:space="0" w:color="auto"/>
        <w:right w:val="none" w:sz="0" w:space="0" w:color="auto"/>
      </w:divBdr>
    </w:div>
    <w:div w:id="1597395515">
      <w:bodyDiv w:val="1"/>
      <w:marLeft w:val="0"/>
      <w:marRight w:val="0"/>
      <w:marTop w:val="0"/>
      <w:marBottom w:val="0"/>
      <w:divBdr>
        <w:top w:val="none" w:sz="0" w:space="0" w:color="auto"/>
        <w:left w:val="none" w:sz="0" w:space="0" w:color="auto"/>
        <w:bottom w:val="none" w:sz="0" w:space="0" w:color="auto"/>
        <w:right w:val="none" w:sz="0" w:space="0" w:color="auto"/>
      </w:divBdr>
    </w:div>
    <w:div w:id="1610089046">
      <w:bodyDiv w:val="1"/>
      <w:marLeft w:val="0"/>
      <w:marRight w:val="0"/>
      <w:marTop w:val="0"/>
      <w:marBottom w:val="0"/>
      <w:divBdr>
        <w:top w:val="none" w:sz="0" w:space="0" w:color="auto"/>
        <w:left w:val="none" w:sz="0" w:space="0" w:color="auto"/>
        <w:bottom w:val="none" w:sz="0" w:space="0" w:color="auto"/>
        <w:right w:val="none" w:sz="0" w:space="0" w:color="auto"/>
      </w:divBdr>
    </w:div>
    <w:div w:id="1661613931">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1943568350">
      <w:bodyDiv w:val="1"/>
      <w:marLeft w:val="0"/>
      <w:marRight w:val="0"/>
      <w:marTop w:val="0"/>
      <w:marBottom w:val="0"/>
      <w:divBdr>
        <w:top w:val="none" w:sz="0" w:space="0" w:color="auto"/>
        <w:left w:val="none" w:sz="0" w:space="0" w:color="auto"/>
        <w:bottom w:val="none" w:sz="0" w:space="0" w:color="auto"/>
        <w:right w:val="none" w:sz="0" w:space="0" w:color="auto"/>
      </w:divBdr>
    </w:div>
    <w:div w:id="1988975402">
      <w:bodyDiv w:val="1"/>
      <w:marLeft w:val="0"/>
      <w:marRight w:val="0"/>
      <w:marTop w:val="0"/>
      <w:marBottom w:val="0"/>
      <w:divBdr>
        <w:top w:val="none" w:sz="0" w:space="0" w:color="auto"/>
        <w:left w:val="none" w:sz="0" w:space="0" w:color="auto"/>
        <w:bottom w:val="none" w:sz="0" w:space="0" w:color="auto"/>
        <w:right w:val="none" w:sz="0" w:space="0" w:color="auto"/>
      </w:divBdr>
    </w:div>
    <w:div w:id="2015646055">
      <w:bodyDiv w:val="1"/>
      <w:marLeft w:val="0"/>
      <w:marRight w:val="0"/>
      <w:marTop w:val="0"/>
      <w:marBottom w:val="0"/>
      <w:divBdr>
        <w:top w:val="none" w:sz="0" w:space="0" w:color="auto"/>
        <w:left w:val="none" w:sz="0" w:space="0" w:color="auto"/>
        <w:bottom w:val="none" w:sz="0" w:space="0" w:color="auto"/>
        <w:right w:val="none" w:sz="0" w:space="0" w:color="auto"/>
      </w:divBdr>
    </w:div>
    <w:div w:id="2026901166">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 w:id="212219056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CC10DF57-E3B1-41CC-B840-17AE0662A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12454</TotalTime>
  <Pages>12</Pages>
  <Words>5706</Words>
  <Characters>31668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37300</CharactersWithSpaces>
  <SharedDoc>false</SharedDoc>
  <HLinks>
    <vt:vector size="276" baseType="variant">
      <vt:variant>
        <vt:i4>2031652</vt:i4>
      </vt:variant>
      <vt:variant>
        <vt:i4>159</vt:i4>
      </vt:variant>
      <vt:variant>
        <vt:i4>0</vt:i4>
      </vt:variant>
      <vt:variant>
        <vt:i4>5</vt:i4>
      </vt:variant>
      <vt:variant>
        <vt:lpwstr>https://www.3gpp.org/ftp/tsg_ran/WG2_RL2/TSGR2_125bis/Docs/R2-2402950.zip</vt:lpwstr>
      </vt:variant>
      <vt:variant>
        <vt:lpwstr/>
      </vt:variant>
      <vt:variant>
        <vt:i4>6881295</vt:i4>
      </vt:variant>
      <vt:variant>
        <vt:i4>156</vt:i4>
      </vt:variant>
      <vt:variant>
        <vt:i4>0</vt:i4>
      </vt:variant>
      <vt:variant>
        <vt:i4>5</vt:i4>
      </vt:variant>
      <vt:variant>
        <vt:lpwstr>https://www.3gpp.org/ftp/Specs/archive/38_series/38.848/38848-i00.zip</vt:lpwstr>
      </vt:variant>
      <vt:variant>
        <vt:lpwstr/>
      </vt:variant>
      <vt:variant>
        <vt:i4>8192074</vt:i4>
      </vt:variant>
      <vt:variant>
        <vt:i4>153</vt:i4>
      </vt:variant>
      <vt:variant>
        <vt:i4>0</vt:i4>
      </vt:variant>
      <vt:variant>
        <vt:i4>5</vt:i4>
      </vt:variant>
      <vt:variant>
        <vt:lpwstr>https://www.3gpp.org/ftp/tsg_ran/WG1_RL1/TSGR1_116/Docs/R1-2401795.zip</vt:lpwstr>
      </vt:variant>
      <vt:variant>
        <vt:lpwstr/>
      </vt:variant>
      <vt:variant>
        <vt:i4>7602240</vt:i4>
      </vt:variant>
      <vt:variant>
        <vt:i4>150</vt:i4>
      </vt:variant>
      <vt:variant>
        <vt:i4>0</vt:i4>
      </vt:variant>
      <vt:variant>
        <vt:i4>5</vt:i4>
      </vt:variant>
      <vt:variant>
        <vt:lpwstr>https://www.3gpp.org/ftp/tsg_ran/WG1_RL1/TSGR1_116/Docs/R1-2400328.zip</vt:lpwstr>
      </vt:variant>
      <vt:variant>
        <vt:lpwstr/>
      </vt:variant>
      <vt:variant>
        <vt:i4>6356999</vt:i4>
      </vt:variant>
      <vt:variant>
        <vt:i4>147</vt:i4>
      </vt:variant>
      <vt:variant>
        <vt:i4>0</vt:i4>
      </vt:variant>
      <vt:variant>
        <vt:i4>5</vt:i4>
      </vt:variant>
      <vt:variant>
        <vt:lpwstr>https://www.3gpp.org/ftp/tsg_ran/TSG_RAN/TSGR_103/Docs/RP-240826.zip</vt:lpwstr>
      </vt:variant>
      <vt:variant>
        <vt:lpwstr/>
      </vt:variant>
      <vt:variant>
        <vt:i4>1245236</vt:i4>
      </vt:variant>
      <vt:variant>
        <vt:i4>143</vt:i4>
      </vt:variant>
      <vt:variant>
        <vt:i4>0</vt:i4>
      </vt:variant>
      <vt:variant>
        <vt:i4>5</vt:i4>
      </vt:variant>
      <vt:variant>
        <vt:lpwstr/>
      </vt:variant>
      <vt:variant>
        <vt:lpwstr>_Toc166249798</vt:lpwstr>
      </vt:variant>
      <vt:variant>
        <vt:i4>1245236</vt:i4>
      </vt:variant>
      <vt:variant>
        <vt:i4>140</vt:i4>
      </vt:variant>
      <vt:variant>
        <vt:i4>0</vt:i4>
      </vt:variant>
      <vt:variant>
        <vt:i4>5</vt:i4>
      </vt:variant>
      <vt:variant>
        <vt:lpwstr/>
      </vt:variant>
      <vt:variant>
        <vt:lpwstr>_Toc166249797</vt:lpwstr>
      </vt:variant>
      <vt:variant>
        <vt:i4>1245236</vt:i4>
      </vt:variant>
      <vt:variant>
        <vt:i4>137</vt:i4>
      </vt:variant>
      <vt:variant>
        <vt:i4>0</vt:i4>
      </vt:variant>
      <vt:variant>
        <vt:i4>5</vt:i4>
      </vt:variant>
      <vt:variant>
        <vt:lpwstr/>
      </vt:variant>
      <vt:variant>
        <vt:lpwstr>_Toc166249796</vt:lpwstr>
      </vt:variant>
      <vt:variant>
        <vt:i4>1245236</vt:i4>
      </vt:variant>
      <vt:variant>
        <vt:i4>134</vt:i4>
      </vt:variant>
      <vt:variant>
        <vt:i4>0</vt:i4>
      </vt:variant>
      <vt:variant>
        <vt:i4>5</vt:i4>
      </vt:variant>
      <vt:variant>
        <vt:lpwstr/>
      </vt:variant>
      <vt:variant>
        <vt:lpwstr>_Toc166249795</vt:lpwstr>
      </vt:variant>
      <vt:variant>
        <vt:i4>1245236</vt:i4>
      </vt:variant>
      <vt:variant>
        <vt:i4>131</vt:i4>
      </vt:variant>
      <vt:variant>
        <vt:i4>0</vt:i4>
      </vt:variant>
      <vt:variant>
        <vt:i4>5</vt:i4>
      </vt:variant>
      <vt:variant>
        <vt:lpwstr/>
      </vt:variant>
      <vt:variant>
        <vt:lpwstr>_Toc166249794</vt:lpwstr>
      </vt:variant>
      <vt:variant>
        <vt:i4>1245236</vt:i4>
      </vt:variant>
      <vt:variant>
        <vt:i4>128</vt:i4>
      </vt:variant>
      <vt:variant>
        <vt:i4>0</vt:i4>
      </vt:variant>
      <vt:variant>
        <vt:i4>5</vt:i4>
      </vt:variant>
      <vt:variant>
        <vt:lpwstr/>
      </vt:variant>
      <vt:variant>
        <vt:lpwstr>_Toc166249793</vt:lpwstr>
      </vt:variant>
      <vt:variant>
        <vt:i4>1245236</vt:i4>
      </vt:variant>
      <vt:variant>
        <vt:i4>125</vt:i4>
      </vt:variant>
      <vt:variant>
        <vt:i4>0</vt:i4>
      </vt:variant>
      <vt:variant>
        <vt:i4>5</vt:i4>
      </vt:variant>
      <vt:variant>
        <vt:lpwstr/>
      </vt:variant>
      <vt:variant>
        <vt:lpwstr>_Toc166249792</vt:lpwstr>
      </vt:variant>
      <vt:variant>
        <vt:i4>1245236</vt:i4>
      </vt:variant>
      <vt:variant>
        <vt:i4>122</vt:i4>
      </vt:variant>
      <vt:variant>
        <vt:i4>0</vt:i4>
      </vt:variant>
      <vt:variant>
        <vt:i4>5</vt:i4>
      </vt:variant>
      <vt:variant>
        <vt:lpwstr/>
      </vt:variant>
      <vt:variant>
        <vt:lpwstr>_Toc166249791</vt:lpwstr>
      </vt:variant>
      <vt:variant>
        <vt:i4>1245236</vt:i4>
      </vt:variant>
      <vt:variant>
        <vt:i4>119</vt:i4>
      </vt:variant>
      <vt:variant>
        <vt:i4>0</vt:i4>
      </vt:variant>
      <vt:variant>
        <vt:i4>5</vt:i4>
      </vt:variant>
      <vt:variant>
        <vt:lpwstr/>
      </vt:variant>
      <vt:variant>
        <vt:lpwstr>_Toc166249790</vt:lpwstr>
      </vt:variant>
      <vt:variant>
        <vt:i4>1179700</vt:i4>
      </vt:variant>
      <vt:variant>
        <vt:i4>116</vt:i4>
      </vt:variant>
      <vt:variant>
        <vt:i4>0</vt:i4>
      </vt:variant>
      <vt:variant>
        <vt:i4>5</vt:i4>
      </vt:variant>
      <vt:variant>
        <vt:lpwstr/>
      </vt:variant>
      <vt:variant>
        <vt:lpwstr>_Toc166249789</vt:lpwstr>
      </vt:variant>
      <vt:variant>
        <vt:i4>1179700</vt:i4>
      </vt:variant>
      <vt:variant>
        <vt:i4>113</vt:i4>
      </vt:variant>
      <vt:variant>
        <vt:i4>0</vt:i4>
      </vt:variant>
      <vt:variant>
        <vt:i4>5</vt:i4>
      </vt:variant>
      <vt:variant>
        <vt:lpwstr/>
      </vt:variant>
      <vt:variant>
        <vt:lpwstr>_Toc166249788</vt:lpwstr>
      </vt:variant>
      <vt:variant>
        <vt:i4>1179700</vt:i4>
      </vt:variant>
      <vt:variant>
        <vt:i4>110</vt:i4>
      </vt:variant>
      <vt:variant>
        <vt:i4>0</vt:i4>
      </vt:variant>
      <vt:variant>
        <vt:i4>5</vt:i4>
      </vt:variant>
      <vt:variant>
        <vt:lpwstr/>
      </vt:variant>
      <vt:variant>
        <vt:lpwstr>_Toc166249787</vt:lpwstr>
      </vt:variant>
      <vt:variant>
        <vt:i4>1179700</vt:i4>
      </vt:variant>
      <vt:variant>
        <vt:i4>107</vt:i4>
      </vt:variant>
      <vt:variant>
        <vt:i4>0</vt:i4>
      </vt:variant>
      <vt:variant>
        <vt:i4>5</vt:i4>
      </vt:variant>
      <vt:variant>
        <vt:lpwstr/>
      </vt:variant>
      <vt:variant>
        <vt:lpwstr>_Toc166249786</vt:lpwstr>
      </vt:variant>
      <vt:variant>
        <vt:i4>1179700</vt:i4>
      </vt:variant>
      <vt:variant>
        <vt:i4>104</vt:i4>
      </vt:variant>
      <vt:variant>
        <vt:i4>0</vt:i4>
      </vt:variant>
      <vt:variant>
        <vt:i4>5</vt:i4>
      </vt:variant>
      <vt:variant>
        <vt:lpwstr/>
      </vt:variant>
      <vt:variant>
        <vt:lpwstr>_Toc166249785</vt:lpwstr>
      </vt:variant>
      <vt:variant>
        <vt:i4>1179700</vt:i4>
      </vt:variant>
      <vt:variant>
        <vt:i4>101</vt:i4>
      </vt:variant>
      <vt:variant>
        <vt:i4>0</vt:i4>
      </vt:variant>
      <vt:variant>
        <vt:i4>5</vt:i4>
      </vt:variant>
      <vt:variant>
        <vt:lpwstr/>
      </vt:variant>
      <vt:variant>
        <vt:lpwstr>_Toc166249784</vt:lpwstr>
      </vt:variant>
      <vt:variant>
        <vt:i4>1179700</vt:i4>
      </vt:variant>
      <vt:variant>
        <vt:i4>98</vt:i4>
      </vt:variant>
      <vt:variant>
        <vt:i4>0</vt:i4>
      </vt:variant>
      <vt:variant>
        <vt:i4>5</vt:i4>
      </vt:variant>
      <vt:variant>
        <vt:lpwstr/>
      </vt:variant>
      <vt:variant>
        <vt:lpwstr>_Toc166249783</vt:lpwstr>
      </vt:variant>
      <vt:variant>
        <vt:i4>1179700</vt:i4>
      </vt:variant>
      <vt:variant>
        <vt:i4>95</vt:i4>
      </vt:variant>
      <vt:variant>
        <vt:i4>0</vt:i4>
      </vt:variant>
      <vt:variant>
        <vt:i4>5</vt:i4>
      </vt:variant>
      <vt:variant>
        <vt:lpwstr/>
      </vt:variant>
      <vt:variant>
        <vt:lpwstr>_Toc166249782</vt:lpwstr>
      </vt:variant>
      <vt:variant>
        <vt:i4>1179700</vt:i4>
      </vt:variant>
      <vt:variant>
        <vt:i4>92</vt:i4>
      </vt:variant>
      <vt:variant>
        <vt:i4>0</vt:i4>
      </vt:variant>
      <vt:variant>
        <vt:i4>5</vt:i4>
      </vt:variant>
      <vt:variant>
        <vt:lpwstr/>
      </vt:variant>
      <vt:variant>
        <vt:lpwstr>_Toc166249781</vt:lpwstr>
      </vt:variant>
      <vt:variant>
        <vt:i4>1179700</vt:i4>
      </vt:variant>
      <vt:variant>
        <vt:i4>89</vt:i4>
      </vt:variant>
      <vt:variant>
        <vt:i4>0</vt:i4>
      </vt:variant>
      <vt:variant>
        <vt:i4>5</vt:i4>
      </vt:variant>
      <vt:variant>
        <vt:lpwstr/>
      </vt:variant>
      <vt:variant>
        <vt:lpwstr>_Toc166249780</vt:lpwstr>
      </vt:variant>
      <vt:variant>
        <vt:i4>1900596</vt:i4>
      </vt:variant>
      <vt:variant>
        <vt:i4>83</vt:i4>
      </vt:variant>
      <vt:variant>
        <vt:i4>0</vt:i4>
      </vt:variant>
      <vt:variant>
        <vt:i4>5</vt:i4>
      </vt:variant>
      <vt:variant>
        <vt:lpwstr/>
      </vt:variant>
      <vt:variant>
        <vt:lpwstr>_Toc166249779</vt:lpwstr>
      </vt:variant>
      <vt:variant>
        <vt:i4>1900596</vt:i4>
      </vt:variant>
      <vt:variant>
        <vt:i4>80</vt:i4>
      </vt:variant>
      <vt:variant>
        <vt:i4>0</vt:i4>
      </vt:variant>
      <vt:variant>
        <vt:i4>5</vt:i4>
      </vt:variant>
      <vt:variant>
        <vt:lpwstr/>
      </vt:variant>
      <vt:variant>
        <vt:lpwstr>_Toc166249778</vt:lpwstr>
      </vt:variant>
      <vt:variant>
        <vt:i4>1900596</vt:i4>
      </vt:variant>
      <vt:variant>
        <vt:i4>77</vt:i4>
      </vt:variant>
      <vt:variant>
        <vt:i4>0</vt:i4>
      </vt:variant>
      <vt:variant>
        <vt:i4>5</vt:i4>
      </vt:variant>
      <vt:variant>
        <vt:lpwstr/>
      </vt:variant>
      <vt:variant>
        <vt:lpwstr>_Toc166249777</vt:lpwstr>
      </vt:variant>
      <vt:variant>
        <vt:i4>1900596</vt:i4>
      </vt:variant>
      <vt:variant>
        <vt:i4>74</vt:i4>
      </vt:variant>
      <vt:variant>
        <vt:i4>0</vt:i4>
      </vt:variant>
      <vt:variant>
        <vt:i4>5</vt:i4>
      </vt:variant>
      <vt:variant>
        <vt:lpwstr/>
      </vt:variant>
      <vt:variant>
        <vt:lpwstr>_Toc166249776</vt:lpwstr>
      </vt:variant>
      <vt:variant>
        <vt:i4>1900596</vt:i4>
      </vt:variant>
      <vt:variant>
        <vt:i4>71</vt:i4>
      </vt:variant>
      <vt:variant>
        <vt:i4>0</vt:i4>
      </vt:variant>
      <vt:variant>
        <vt:i4>5</vt:i4>
      </vt:variant>
      <vt:variant>
        <vt:lpwstr/>
      </vt:variant>
      <vt:variant>
        <vt:lpwstr>_Toc166249775</vt:lpwstr>
      </vt:variant>
      <vt:variant>
        <vt:i4>1900596</vt:i4>
      </vt:variant>
      <vt:variant>
        <vt:i4>68</vt:i4>
      </vt:variant>
      <vt:variant>
        <vt:i4>0</vt:i4>
      </vt:variant>
      <vt:variant>
        <vt:i4>5</vt:i4>
      </vt:variant>
      <vt:variant>
        <vt:lpwstr/>
      </vt:variant>
      <vt:variant>
        <vt:lpwstr>_Toc166249774</vt:lpwstr>
      </vt:variant>
      <vt:variant>
        <vt:i4>1900596</vt:i4>
      </vt:variant>
      <vt:variant>
        <vt:i4>65</vt:i4>
      </vt:variant>
      <vt:variant>
        <vt:i4>0</vt:i4>
      </vt:variant>
      <vt:variant>
        <vt:i4>5</vt:i4>
      </vt:variant>
      <vt:variant>
        <vt:lpwstr/>
      </vt:variant>
      <vt:variant>
        <vt:lpwstr>_Toc166249773</vt:lpwstr>
      </vt:variant>
      <vt:variant>
        <vt:i4>1900596</vt:i4>
      </vt:variant>
      <vt:variant>
        <vt:i4>62</vt:i4>
      </vt:variant>
      <vt:variant>
        <vt:i4>0</vt:i4>
      </vt:variant>
      <vt:variant>
        <vt:i4>5</vt:i4>
      </vt:variant>
      <vt:variant>
        <vt:lpwstr/>
      </vt:variant>
      <vt:variant>
        <vt:lpwstr>_Toc166249772</vt:lpwstr>
      </vt:variant>
      <vt:variant>
        <vt:i4>1900596</vt:i4>
      </vt:variant>
      <vt:variant>
        <vt:i4>59</vt:i4>
      </vt:variant>
      <vt:variant>
        <vt:i4>0</vt:i4>
      </vt:variant>
      <vt:variant>
        <vt:i4>5</vt:i4>
      </vt:variant>
      <vt:variant>
        <vt:lpwstr/>
      </vt:variant>
      <vt:variant>
        <vt:lpwstr>_Toc166249771</vt:lpwstr>
      </vt:variant>
      <vt:variant>
        <vt:i4>1900596</vt:i4>
      </vt:variant>
      <vt:variant>
        <vt:i4>56</vt:i4>
      </vt:variant>
      <vt:variant>
        <vt:i4>0</vt:i4>
      </vt:variant>
      <vt:variant>
        <vt:i4>5</vt:i4>
      </vt:variant>
      <vt:variant>
        <vt:lpwstr/>
      </vt:variant>
      <vt:variant>
        <vt:lpwstr>_Toc166249770</vt:lpwstr>
      </vt:variant>
      <vt:variant>
        <vt:i4>1835060</vt:i4>
      </vt:variant>
      <vt:variant>
        <vt:i4>53</vt:i4>
      </vt:variant>
      <vt:variant>
        <vt:i4>0</vt:i4>
      </vt:variant>
      <vt:variant>
        <vt:i4>5</vt:i4>
      </vt:variant>
      <vt:variant>
        <vt:lpwstr/>
      </vt:variant>
      <vt:variant>
        <vt:lpwstr>_Toc166249769</vt:lpwstr>
      </vt:variant>
      <vt:variant>
        <vt:i4>1835060</vt:i4>
      </vt:variant>
      <vt:variant>
        <vt:i4>50</vt:i4>
      </vt:variant>
      <vt:variant>
        <vt:i4>0</vt:i4>
      </vt:variant>
      <vt:variant>
        <vt:i4>5</vt:i4>
      </vt:variant>
      <vt:variant>
        <vt:lpwstr/>
      </vt:variant>
      <vt:variant>
        <vt:lpwstr>_Toc166249768</vt:lpwstr>
      </vt:variant>
      <vt:variant>
        <vt:i4>1835060</vt:i4>
      </vt:variant>
      <vt:variant>
        <vt:i4>47</vt:i4>
      </vt:variant>
      <vt:variant>
        <vt:i4>0</vt:i4>
      </vt:variant>
      <vt:variant>
        <vt:i4>5</vt:i4>
      </vt:variant>
      <vt:variant>
        <vt:lpwstr/>
      </vt:variant>
      <vt:variant>
        <vt:lpwstr>_Toc166249767</vt:lpwstr>
      </vt:variant>
      <vt:variant>
        <vt:i4>1835060</vt:i4>
      </vt:variant>
      <vt:variant>
        <vt:i4>44</vt:i4>
      </vt:variant>
      <vt:variant>
        <vt:i4>0</vt:i4>
      </vt:variant>
      <vt:variant>
        <vt:i4>5</vt:i4>
      </vt:variant>
      <vt:variant>
        <vt:lpwstr/>
      </vt:variant>
      <vt:variant>
        <vt:lpwstr>_Toc166249766</vt:lpwstr>
      </vt:variant>
      <vt:variant>
        <vt:i4>1835060</vt:i4>
      </vt:variant>
      <vt:variant>
        <vt:i4>41</vt:i4>
      </vt:variant>
      <vt:variant>
        <vt:i4>0</vt:i4>
      </vt:variant>
      <vt:variant>
        <vt:i4>5</vt:i4>
      </vt:variant>
      <vt:variant>
        <vt:lpwstr/>
      </vt:variant>
      <vt:variant>
        <vt:lpwstr>_Toc166249765</vt:lpwstr>
      </vt:variant>
      <vt:variant>
        <vt:i4>1835060</vt:i4>
      </vt:variant>
      <vt:variant>
        <vt:i4>38</vt:i4>
      </vt:variant>
      <vt:variant>
        <vt:i4>0</vt:i4>
      </vt:variant>
      <vt:variant>
        <vt:i4>5</vt:i4>
      </vt:variant>
      <vt:variant>
        <vt:lpwstr/>
      </vt:variant>
      <vt:variant>
        <vt:lpwstr>_Toc166249764</vt:lpwstr>
      </vt:variant>
      <vt:variant>
        <vt:i4>1835060</vt:i4>
      </vt:variant>
      <vt:variant>
        <vt:i4>35</vt:i4>
      </vt:variant>
      <vt:variant>
        <vt:i4>0</vt:i4>
      </vt:variant>
      <vt:variant>
        <vt:i4>5</vt:i4>
      </vt:variant>
      <vt:variant>
        <vt:lpwstr/>
      </vt:variant>
      <vt:variant>
        <vt:lpwstr>_Toc166249763</vt:lpwstr>
      </vt:variant>
      <vt:variant>
        <vt:i4>1835060</vt:i4>
      </vt:variant>
      <vt:variant>
        <vt:i4>32</vt:i4>
      </vt:variant>
      <vt:variant>
        <vt:i4>0</vt:i4>
      </vt:variant>
      <vt:variant>
        <vt:i4>5</vt:i4>
      </vt:variant>
      <vt:variant>
        <vt:lpwstr/>
      </vt:variant>
      <vt:variant>
        <vt:lpwstr>_Toc166249762</vt:lpwstr>
      </vt:variant>
      <vt:variant>
        <vt:i4>1835060</vt:i4>
      </vt:variant>
      <vt:variant>
        <vt:i4>29</vt:i4>
      </vt:variant>
      <vt:variant>
        <vt:i4>0</vt:i4>
      </vt:variant>
      <vt:variant>
        <vt:i4>5</vt:i4>
      </vt:variant>
      <vt:variant>
        <vt:lpwstr/>
      </vt:variant>
      <vt:variant>
        <vt:lpwstr>_Toc166249761</vt:lpwstr>
      </vt:variant>
      <vt:variant>
        <vt:i4>1835060</vt:i4>
      </vt:variant>
      <vt:variant>
        <vt:i4>26</vt:i4>
      </vt:variant>
      <vt:variant>
        <vt:i4>0</vt:i4>
      </vt:variant>
      <vt:variant>
        <vt:i4>5</vt:i4>
      </vt:variant>
      <vt:variant>
        <vt:lpwstr/>
      </vt:variant>
      <vt:variant>
        <vt:lpwstr>_Toc166249760</vt:lpwstr>
      </vt:variant>
      <vt:variant>
        <vt:i4>2031668</vt:i4>
      </vt:variant>
      <vt:variant>
        <vt:i4>23</vt:i4>
      </vt:variant>
      <vt:variant>
        <vt:i4>0</vt:i4>
      </vt:variant>
      <vt:variant>
        <vt:i4>5</vt:i4>
      </vt:variant>
      <vt:variant>
        <vt:lpwstr/>
      </vt:variant>
      <vt:variant>
        <vt:lpwstr>_Toc166249759</vt:lpwstr>
      </vt:variant>
      <vt:variant>
        <vt:i4>2031668</vt:i4>
      </vt:variant>
      <vt:variant>
        <vt:i4>20</vt:i4>
      </vt:variant>
      <vt:variant>
        <vt:i4>0</vt:i4>
      </vt:variant>
      <vt:variant>
        <vt:i4>5</vt:i4>
      </vt:variant>
      <vt:variant>
        <vt:lpwstr/>
      </vt:variant>
      <vt:variant>
        <vt:lpwstr>_Toc166249758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1173</cp:revision>
  <cp:lastPrinted>2008-02-01T01:09:00Z</cp:lastPrinted>
  <dcterms:created xsi:type="dcterms:W3CDTF">2024-01-11T17:35:00Z</dcterms:created>
  <dcterms:modified xsi:type="dcterms:W3CDTF">2024-05-10T16:12:00Z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